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2511" w14:textId="2FE87403" w:rsidR="00F038FC" w:rsidRDefault="00F038FC" w:rsidP="00B26E70">
      <w:pPr>
        <w:pStyle w:val="Heading1"/>
        <w:jc w:val="center"/>
      </w:pPr>
      <w:bookmarkStart w:id="0" w:name="_Toc52972311"/>
      <w:r w:rsidRPr="00F038FC">
        <w:rPr>
          <w:rFonts w:ascii="Calibri" w:eastAsia="Calibri" w:hAnsi="Calibri" w:cs="Times New Roman"/>
          <w:noProof/>
          <w:color w:val="auto"/>
          <w:sz w:val="22"/>
          <w:szCs w:val="22"/>
          <w:lang w:eastAsia="en-AU"/>
        </w:rPr>
        <w:drawing>
          <wp:inline distT="0" distB="0" distL="0" distR="0" wp14:anchorId="03B76D69" wp14:editId="09F269AC">
            <wp:extent cx="5731510" cy="1729564"/>
            <wp:effectExtent l="0" t="0" r="2540" b="4445"/>
            <wp:docPr id="1295887649" name="Picture 12958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729564"/>
                    </a:xfrm>
                    <a:prstGeom prst="rect">
                      <a:avLst/>
                    </a:prstGeom>
                  </pic:spPr>
                </pic:pic>
              </a:graphicData>
            </a:graphic>
          </wp:inline>
        </w:drawing>
      </w:r>
    </w:p>
    <w:p w14:paraId="0579A44D" w14:textId="77777777" w:rsidR="00F038FC" w:rsidRDefault="00F038FC" w:rsidP="00B26E70">
      <w:pPr>
        <w:pStyle w:val="Heading1"/>
        <w:jc w:val="center"/>
      </w:pPr>
    </w:p>
    <w:p w14:paraId="5558F5D3" w14:textId="776DBA2D" w:rsidR="003E7CA8" w:rsidRPr="00DB5881" w:rsidRDefault="00A76D27" w:rsidP="00B26E70">
      <w:pPr>
        <w:pStyle w:val="Heading1"/>
        <w:jc w:val="center"/>
        <w:rPr>
          <w:lang w:val="fr-FR"/>
        </w:rPr>
      </w:pPr>
      <w:r w:rsidRPr="00DB5881">
        <w:rPr>
          <w:lang w:val="fr-FR"/>
        </w:rPr>
        <w:t>4</w:t>
      </w:r>
      <w:r w:rsidR="00DB5881" w:rsidRPr="00DB5881">
        <w:rPr>
          <w:lang w:val="fr-FR"/>
        </w:rPr>
        <w:t>ème</w:t>
      </w:r>
      <w:r w:rsidR="001B63AB" w:rsidRPr="00DB5881">
        <w:rPr>
          <w:lang w:val="fr-FR"/>
        </w:rPr>
        <w:t xml:space="preserve"> </w:t>
      </w:r>
      <w:r w:rsidR="00DB5881" w:rsidRPr="00DB5881">
        <w:rPr>
          <w:lang w:val="fr-FR"/>
        </w:rPr>
        <w:t>TABLE RONDE POUR UN</w:t>
      </w:r>
      <w:r w:rsidR="003E7CA8" w:rsidRPr="00DB5881">
        <w:rPr>
          <w:lang w:val="fr-FR"/>
        </w:rPr>
        <w:t xml:space="preserve"> PACIFI</w:t>
      </w:r>
      <w:r w:rsidR="00DB5881" w:rsidRPr="00DB5881">
        <w:rPr>
          <w:lang w:val="fr-FR"/>
        </w:rPr>
        <w:t>QUE</w:t>
      </w:r>
      <w:r w:rsidR="003E7CA8" w:rsidRPr="00DB5881">
        <w:rPr>
          <w:lang w:val="fr-FR"/>
        </w:rPr>
        <w:t xml:space="preserve"> </w:t>
      </w:r>
      <w:bookmarkEnd w:id="0"/>
      <w:r w:rsidR="00DB5881">
        <w:rPr>
          <w:lang w:val="fr-FR"/>
        </w:rPr>
        <w:t>PROPRE</w:t>
      </w:r>
    </w:p>
    <w:p w14:paraId="594C2633" w14:textId="0736DF52" w:rsidR="00195748" w:rsidRDefault="003E7CA8" w:rsidP="001B63AB">
      <w:pPr>
        <w:jc w:val="center"/>
        <w:rPr>
          <w:sz w:val="36"/>
          <w:szCs w:val="36"/>
        </w:rPr>
      </w:pPr>
      <w:r w:rsidRPr="008A03BA">
        <w:rPr>
          <w:sz w:val="36"/>
          <w:szCs w:val="36"/>
        </w:rPr>
        <w:t>Note</w:t>
      </w:r>
      <w:r w:rsidR="00DB5881">
        <w:rPr>
          <w:sz w:val="36"/>
          <w:szCs w:val="36"/>
        </w:rPr>
        <w:t xml:space="preserve"> </w:t>
      </w:r>
      <w:proofErr w:type="spellStart"/>
      <w:r w:rsidR="00DB5881">
        <w:rPr>
          <w:sz w:val="36"/>
          <w:szCs w:val="36"/>
        </w:rPr>
        <w:t>conceptuelle</w:t>
      </w:r>
      <w:proofErr w:type="spellEnd"/>
    </w:p>
    <w:p w14:paraId="02C9D3D2" w14:textId="13CFD4CA" w:rsidR="001270FD" w:rsidRDefault="001270FD" w:rsidP="001B63AB">
      <w:pPr>
        <w:jc w:val="center"/>
        <w:rPr>
          <w:rStyle w:val="Heading1Char"/>
          <w:rFonts w:asciiTheme="minorHAnsi" w:eastAsiaTheme="minorHAnsi" w:hAnsiTheme="minorHAnsi" w:cstheme="minorBidi"/>
          <w:color w:val="auto"/>
          <w:sz w:val="22"/>
          <w:szCs w:val="22"/>
        </w:rPr>
      </w:pPr>
    </w:p>
    <w:p w14:paraId="480D1C29" w14:textId="04AA72E7" w:rsidR="001270FD" w:rsidRPr="00DB5881" w:rsidRDefault="00DB5881" w:rsidP="001270FD">
      <w:pPr>
        <w:pStyle w:val="Heading1"/>
        <w:rPr>
          <w:lang w:val="fr-FR"/>
        </w:rPr>
      </w:pPr>
      <w:r w:rsidRPr="00DB5881">
        <w:rPr>
          <w:lang w:val="fr-FR"/>
        </w:rPr>
        <w:t>Contexte</w:t>
      </w:r>
    </w:p>
    <w:p w14:paraId="64776F01" w14:textId="7A031A2B" w:rsidR="00DB5881" w:rsidRPr="00DB5881" w:rsidRDefault="00DB5881" w:rsidP="00DB5881">
      <w:pPr>
        <w:ind w:right="142"/>
        <w:jc w:val="both"/>
        <w:rPr>
          <w:lang w:val="fr-FR"/>
        </w:rPr>
      </w:pPr>
      <w:r w:rsidRPr="00DB5881">
        <w:rPr>
          <w:lang w:val="fr-FR"/>
        </w:rPr>
        <w:t xml:space="preserve">La première table ronde </w:t>
      </w:r>
      <w:r>
        <w:rPr>
          <w:lang w:val="fr-FR"/>
        </w:rPr>
        <w:t>pour un</w:t>
      </w:r>
      <w:r w:rsidRPr="00DB5881">
        <w:rPr>
          <w:lang w:val="fr-FR"/>
        </w:rPr>
        <w:t xml:space="preserve"> Pacifique propre </w:t>
      </w:r>
      <w:r>
        <w:rPr>
          <w:lang w:val="fr-FR"/>
        </w:rPr>
        <w:t xml:space="preserve">qui </w:t>
      </w:r>
      <w:r w:rsidRPr="00DB5881">
        <w:rPr>
          <w:lang w:val="fr-FR"/>
        </w:rPr>
        <w:t xml:space="preserve">s'est tenue en 2016 a été suivie avec succès par la deuxième table ronde organisée </w:t>
      </w:r>
      <w:r>
        <w:rPr>
          <w:lang w:val="fr-FR"/>
        </w:rPr>
        <w:t>lors du</w:t>
      </w:r>
      <w:r w:rsidRPr="00DB5881">
        <w:rPr>
          <w:lang w:val="fr-FR"/>
        </w:rPr>
        <w:t xml:space="preserve"> Forum des îles du Pacifique en 2018, </w:t>
      </w:r>
      <w:r>
        <w:rPr>
          <w:lang w:val="fr-FR"/>
        </w:rPr>
        <w:t>et dont le</w:t>
      </w:r>
      <w:r w:rsidRPr="00DB5881">
        <w:rPr>
          <w:lang w:val="fr-FR"/>
        </w:rPr>
        <w:t xml:space="preserve"> discours d'ouverture </w:t>
      </w:r>
      <w:r>
        <w:rPr>
          <w:lang w:val="fr-FR"/>
        </w:rPr>
        <w:t xml:space="preserve">avait été délivré par </w:t>
      </w:r>
      <w:r w:rsidRPr="00DB5881">
        <w:rPr>
          <w:lang w:val="fr-FR"/>
        </w:rPr>
        <w:t xml:space="preserve">l'honorable </w:t>
      </w:r>
      <w:proofErr w:type="spellStart"/>
      <w:r w:rsidRPr="00DB5881">
        <w:rPr>
          <w:lang w:val="fr-FR"/>
        </w:rPr>
        <w:t>Josaia</w:t>
      </w:r>
      <w:proofErr w:type="spellEnd"/>
      <w:r w:rsidRPr="00DB5881">
        <w:rPr>
          <w:lang w:val="fr-FR"/>
        </w:rPr>
        <w:t xml:space="preserve"> </w:t>
      </w:r>
      <w:proofErr w:type="spellStart"/>
      <w:r w:rsidRPr="00DB5881">
        <w:rPr>
          <w:lang w:val="fr-FR"/>
        </w:rPr>
        <w:t>Voreqe</w:t>
      </w:r>
      <w:proofErr w:type="spellEnd"/>
      <w:r w:rsidRPr="00DB5881">
        <w:rPr>
          <w:lang w:val="fr-FR"/>
        </w:rPr>
        <w:t xml:space="preserve"> </w:t>
      </w:r>
      <w:proofErr w:type="spellStart"/>
      <w:r w:rsidRPr="00DB5881">
        <w:rPr>
          <w:lang w:val="fr-FR"/>
        </w:rPr>
        <w:t>Bainimarama</w:t>
      </w:r>
      <w:proofErr w:type="spellEnd"/>
      <w:r w:rsidRPr="00DB5881">
        <w:rPr>
          <w:lang w:val="fr-FR"/>
        </w:rPr>
        <w:t xml:space="preserve">, Premier ministre des Fidji. </w:t>
      </w:r>
      <w:r>
        <w:rPr>
          <w:lang w:val="fr-FR"/>
        </w:rPr>
        <w:t>En réponse à</w:t>
      </w:r>
      <w:r w:rsidRPr="00DB5881">
        <w:rPr>
          <w:lang w:val="fr-FR"/>
        </w:rPr>
        <w:t xml:space="preserve"> la deuxième table ronde, le 49</w:t>
      </w:r>
      <w:r w:rsidRPr="00DB5881">
        <w:rPr>
          <w:vertAlign w:val="superscript"/>
          <w:lang w:val="fr-FR"/>
        </w:rPr>
        <w:t>ème</w:t>
      </w:r>
      <w:r>
        <w:rPr>
          <w:lang w:val="fr-FR"/>
        </w:rPr>
        <w:t xml:space="preserve"> </w:t>
      </w:r>
      <w:r w:rsidRPr="00DB5881">
        <w:rPr>
          <w:lang w:val="fr-FR"/>
        </w:rPr>
        <w:t xml:space="preserve">communiqué des dirigeants du Forum des îles du Pacifique a réaffirmé l'engagement des dirigeants à éliminer les déchets marins, a reconnu l'urgence de mettre en œuvre le plan d'action sur les déchets marins dans le Pacifique et a déclaré que les déchets étaient une question essentielle pour </w:t>
      </w:r>
      <w:r>
        <w:rPr>
          <w:lang w:val="fr-FR"/>
        </w:rPr>
        <w:t>un</w:t>
      </w:r>
      <w:r w:rsidRPr="00DB5881">
        <w:rPr>
          <w:lang w:val="fr-FR"/>
        </w:rPr>
        <w:t xml:space="preserve"> Pacifique bleu.  </w:t>
      </w:r>
    </w:p>
    <w:p w14:paraId="39FE1B73" w14:textId="7F0C38E9" w:rsidR="001270FD" w:rsidRPr="00DB5881" w:rsidRDefault="00DB5881" w:rsidP="00DB5881">
      <w:pPr>
        <w:ind w:right="142"/>
        <w:jc w:val="both"/>
        <w:rPr>
          <w:lang w:val="fr-FR"/>
        </w:rPr>
      </w:pPr>
      <w:r w:rsidRPr="00DB5881">
        <w:rPr>
          <w:lang w:val="fr-FR"/>
        </w:rPr>
        <w:t xml:space="preserve">Depuis lors, le rôle de la Table ronde pour un Pacifique propre s'est </w:t>
      </w:r>
      <w:r>
        <w:rPr>
          <w:lang w:val="fr-FR"/>
        </w:rPr>
        <w:t>élargi pour tenir compte</w:t>
      </w:r>
      <w:r w:rsidRPr="00DB5881">
        <w:rPr>
          <w:lang w:val="fr-FR"/>
        </w:rPr>
        <w:t xml:space="preserve"> des défis complexes </w:t>
      </w:r>
      <w:r>
        <w:rPr>
          <w:lang w:val="fr-FR"/>
        </w:rPr>
        <w:t>liés a</w:t>
      </w:r>
      <w:r w:rsidRPr="00DB5881">
        <w:rPr>
          <w:lang w:val="fr-FR"/>
        </w:rPr>
        <w:t xml:space="preserve">u secteur des déchets dans le Pacifique, et de l'urgence </w:t>
      </w:r>
      <w:r>
        <w:rPr>
          <w:lang w:val="fr-FR"/>
        </w:rPr>
        <w:t>à</w:t>
      </w:r>
      <w:r w:rsidRPr="00DB5881">
        <w:rPr>
          <w:lang w:val="fr-FR"/>
        </w:rPr>
        <w:t xml:space="preserve"> relever ces défis </w:t>
      </w:r>
      <w:r>
        <w:rPr>
          <w:lang w:val="fr-FR"/>
        </w:rPr>
        <w:t>visant</w:t>
      </w:r>
      <w:r w:rsidRPr="00DB5881">
        <w:rPr>
          <w:lang w:val="fr-FR"/>
        </w:rPr>
        <w:t xml:space="preserve"> une planification, une coordination et un financement efficaces en vue d'un environnement propre, d'un océan résilient et de communautés en bonne santé.  </w:t>
      </w:r>
      <w:r w:rsidR="001270FD" w:rsidRPr="00DB5881">
        <w:rPr>
          <w:lang w:val="fr-FR"/>
        </w:rPr>
        <w:t xml:space="preserve">  </w:t>
      </w:r>
    </w:p>
    <w:p w14:paraId="5394A727" w14:textId="38CE587B" w:rsidR="00DB5881" w:rsidRDefault="00DB5881" w:rsidP="0042340F">
      <w:pPr>
        <w:jc w:val="both"/>
        <w:rPr>
          <w:lang w:val="fr-FR"/>
        </w:rPr>
      </w:pPr>
      <w:r w:rsidRPr="00DB5881">
        <w:rPr>
          <w:lang w:val="fr-FR"/>
        </w:rPr>
        <w:t xml:space="preserve">La troisième table ronde </w:t>
      </w:r>
      <w:r>
        <w:rPr>
          <w:lang w:val="fr-FR"/>
        </w:rPr>
        <w:t>pour une</w:t>
      </w:r>
      <w:r w:rsidRPr="00DB5881">
        <w:rPr>
          <w:lang w:val="fr-FR"/>
        </w:rPr>
        <w:t xml:space="preserve"> Pacifique </w:t>
      </w:r>
      <w:r>
        <w:rPr>
          <w:lang w:val="fr-FR"/>
        </w:rPr>
        <w:t>propre qui s’est tenue</w:t>
      </w:r>
      <w:r w:rsidRPr="00DB5881">
        <w:rPr>
          <w:lang w:val="fr-FR"/>
        </w:rPr>
        <w:t xml:space="preserve"> en 2021</w:t>
      </w:r>
      <w:r>
        <w:rPr>
          <w:lang w:val="fr-FR"/>
        </w:rPr>
        <w:t>,</w:t>
      </w:r>
      <w:r w:rsidRPr="00DB5881">
        <w:rPr>
          <w:lang w:val="fr-FR"/>
        </w:rPr>
        <w:t xml:space="preserve"> s'est concentrée sur : </w:t>
      </w:r>
    </w:p>
    <w:p w14:paraId="305A86AF" w14:textId="32D9F919" w:rsidR="00DB5881" w:rsidRPr="00DB5881" w:rsidRDefault="00DB5881" w:rsidP="0042340F">
      <w:pPr>
        <w:pStyle w:val="ListParagraph"/>
        <w:numPr>
          <w:ilvl w:val="0"/>
          <w:numId w:val="39"/>
        </w:numPr>
        <w:jc w:val="both"/>
        <w:rPr>
          <w:lang w:val="fr-FR"/>
        </w:rPr>
      </w:pPr>
      <w:r w:rsidRPr="00DB5881">
        <w:rPr>
          <w:lang w:val="fr-FR"/>
        </w:rPr>
        <w:t>La cr</w:t>
      </w:r>
      <w:r>
        <w:rPr>
          <w:lang w:val="fr-FR"/>
        </w:rPr>
        <w:t>é</w:t>
      </w:r>
      <w:r w:rsidRPr="00DB5881">
        <w:rPr>
          <w:lang w:val="fr-FR"/>
        </w:rPr>
        <w:t xml:space="preserve">ation d’un </w:t>
      </w:r>
      <w:r>
        <w:rPr>
          <w:lang w:val="fr-FR"/>
        </w:rPr>
        <w:t>système</w:t>
      </w:r>
      <w:r w:rsidRPr="00DB5881">
        <w:rPr>
          <w:lang w:val="fr-FR"/>
        </w:rPr>
        <w:t xml:space="preserve"> d</w:t>
      </w:r>
      <w:r>
        <w:rPr>
          <w:lang w:val="fr-FR"/>
        </w:rPr>
        <w:t xml:space="preserve">’économie circulaire durable dans le Pacifique </w:t>
      </w:r>
    </w:p>
    <w:p w14:paraId="044F0978" w14:textId="4BB7E68E" w:rsidR="00DB5881" w:rsidRPr="003C6940" w:rsidRDefault="00DB5881" w:rsidP="00CA03A2">
      <w:pPr>
        <w:pStyle w:val="ListParagraph"/>
        <w:numPr>
          <w:ilvl w:val="0"/>
          <w:numId w:val="39"/>
        </w:numPr>
        <w:jc w:val="both"/>
        <w:rPr>
          <w:lang w:val="fr-FR"/>
        </w:rPr>
      </w:pPr>
      <w:r w:rsidRPr="003C6940">
        <w:rPr>
          <w:lang w:val="fr-FR"/>
        </w:rPr>
        <w:t xml:space="preserve">Le renforcement des </w:t>
      </w:r>
      <w:r w:rsidRPr="003C6940">
        <w:rPr>
          <w:lang w:val="fr-FR"/>
        </w:rPr>
        <w:t xml:space="preserve">partenariats public-privé </w:t>
      </w:r>
      <w:r w:rsidR="003C6940" w:rsidRPr="003C6940">
        <w:rPr>
          <w:lang w:val="fr-FR"/>
        </w:rPr>
        <w:t>les e</w:t>
      </w:r>
      <w:r w:rsidRPr="003C6940">
        <w:rPr>
          <w:lang w:val="fr-FR"/>
        </w:rPr>
        <w:t>ntreprise</w:t>
      </w:r>
      <w:r w:rsidR="003C6940">
        <w:rPr>
          <w:lang w:val="fr-FR"/>
        </w:rPr>
        <w:t>s</w:t>
      </w:r>
      <w:r w:rsidRPr="003C6940">
        <w:rPr>
          <w:lang w:val="fr-FR"/>
        </w:rPr>
        <w:t xml:space="preserve"> basée</w:t>
      </w:r>
      <w:r w:rsidR="003C6940" w:rsidRPr="003C6940">
        <w:rPr>
          <w:lang w:val="fr-FR"/>
        </w:rPr>
        <w:t>s</w:t>
      </w:r>
      <w:r w:rsidRPr="003C6940">
        <w:rPr>
          <w:lang w:val="fr-FR"/>
        </w:rPr>
        <w:t xml:space="preserve"> sur l'industrie des déchets </w:t>
      </w:r>
    </w:p>
    <w:p w14:paraId="1393761B" w14:textId="2763F7AA" w:rsidR="001270FD" w:rsidRPr="003C6940" w:rsidRDefault="003C6940" w:rsidP="0042340F">
      <w:pPr>
        <w:pStyle w:val="ListParagraph"/>
        <w:numPr>
          <w:ilvl w:val="0"/>
          <w:numId w:val="39"/>
        </w:numPr>
        <w:jc w:val="both"/>
        <w:rPr>
          <w:lang w:val="fr-FR"/>
        </w:rPr>
      </w:pPr>
      <w:r w:rsidRPr="003C6940">
        <w:rPr>
          <w:lang w:val="fr-FR"/>
        </w:rPr>
        <w:t xml:space="preserve">Le rapprochement </w:t>
      </w:r>
      <w:r>
        <w:rPr>
          <w:lang w:val="fr-FR"/>
        </w:rPr>
        <w:t>d</w:t>
      </w:r>
      <w:r w:rsidRPr="003C6940">
        <w:rPr>
          <w:lang w:val="fr-FR"/>
        </w:rPr>
        <w:t>es personnes et le</w:t>
      </w:r>
      <w:r>
        <w:rPr>
          <w:lang w:val="fr-FR"/>
        </w:rPr>
        <w:t xml:space="preserve">urs </w:t>
      </w:r>
      <w:r w:rsidRPr="003C6940">
        <w:rPr>
          <w:lang w:val="fr-FR"/>
        </w:rPr>
        <w:t xml:space="preserve">déchets </w:t>
      </w:r>
      <w:r>
        <w:rPr>
          <w:lang w:val="fr-FR"/>
        </w:rPr>
        <w:t>afin d’a</w:t>
      </w:r>
      <w:r w:rsidRPr="003C6940">
        <w:rPr>
          <w:lang w:val="fr-FR"/>
        </w:rPr>
        <w:t xml:space="preserve">méliorer la prise de conscience </w:t>
      </w:r>
      <w:r>
        <w:rPr>
          <w:lang w:val="fr-FR"/>
        </w:rPr>
        <w:t xml:space="preserve">quant à l’importance d’une </w:t>
      </w:r>
      <w:r w:rsidRPr="003C6940">
        <w:rPr>
          <w:lang w:val="fr-FR"/>
        </w:rPr>
        <w:t xml:space="preserve">gestion </w:t>
      </w:r>
      <w:r>
        <w:rPr>
          <w:lang w:val="fr-FR"/>
        </w:rPr>
        <w:t xml:space="preserve">efficace </w:t>
      </w:r>
      <w:r w:rsidRPr="003C6940">
        <w:rPr>
          <w:lang w:val="fr-FR"/>
        </w:rPr>
        <w:t>des déchets</w:t>
      </w:r>
      <w:r>
        <w:rPr>
          <w:lang w:val="fr-FR"/>
        </w:rPr>
        <w:t>.</w:t>
      </w:r>
    </w:p>
    <w:p w14:paraId="3D870F5C" w14:textId="411B9B6C" w:rsidR="00570D8F" w:rsidRPr="00570D8F" w:rsidRDefault="00570D8F" w:rsidP="0042340F">
      <w:pPr>
        <w:jc w:val="both"/>
        <w:rPr>
          <w:lang w:val="fr-FR"/>
        </w:rPr>
      </w:pPr>
      <w:r w:rsidRPr="00570D8F">
        <w:rPr>
          <w:lang w:val="fr-FR"/>
        </w:rPr>
        <w:t xml:space="preserve">La </w:t>
      </w:r>
      <w:r>
        <w:rPr>
          <w:lang w:val="fr-FR"/>
        </w:rPr>
        <w:t>3</w:t>
      </w:r>
      <w:r w:rsidRPr="00570D8F">
        <w:rPr>
          <w:vertAlign w:val="superscript"/>
          <w:lang w:val="fr-FR"/>
        </w:rPr>
        <w:t>ème</w:t>
      </w:r>
      <w:r>
        <w:rPr>
          <w:lang w:val="fr-FR"/>
        </w:rPr>
        <w:t xml:space="preserve"> </w:t>
      </w:r>
      <w:r w:rsidRPr="00570D8F">
        <w:rPr>
          <w:lang w:val="fr-FR"/>
        </w:rPr>
        <w:t xml:space="preserve">table ronde </w:t>
      </w:r>
      <w:r>
        <w:rPr>
          <w:lang w:val="fr-FR"/>
        </w:rPr>
        <w:t>pour un</w:t>
      </w:r>
      <w:r w:rsidRPr="00570D8F">
        <w:rPr>
          <w:lang w:val="fr-FR"/>
        </w:rPr>
        <w:t xml:space="preserve"> Pacifique </w:t>
      </w:r>
      <w:r>
        <w:rPr>
          <w:lang w:val="fr-FR"/>
        </w:rPr>
        <w:t xml:space="preserve">propre de </w:t>
      </w:r>
      <w:r w:rsidRPr="00570D8F">
        <w:rPr>
          <w:lang w:val="fr-FR"/>
        </w:rPr>
        <w:t xml:space="preserve">2021 s'est tenue virtuellement en raison des impacts de la pandémie </w:t>
      </w:r>
      <w:r>
        <w:rPr>
          <w:lang w:val="fr-FR"/>
        </w:rPr>
        <w:t xml:space="preserve">de </w:t>
      </w:r>
      <w:r w:rsidRPr="00570D8F">
        <w:rPr>
          <w:lang w:val="fr-FR"/>
        </w:rPr>
        <w:t xml:space="preserve">COVID 19. Le comité directeur de la </w:t>
      </w:r>
      <w:r>
        <w:rPr>
          <w:lang w:val="fr-FR"/>
        </w:rPr>
        <w:t>table ronde de</w:t>
      </w:r>
      <w:r w:rsidRPr="00570D8F">
        <w:rPr>
          <w:lang w:val="fr-FR"/>
        </w:rPr>
        <w:t xml:space="preserve"> février 2020 a</w:t>
      </w:r>
      <w:r>
        <w:rPr>
          <w:lang w:val="fr-FR"/>
        </w:rPr>
        <w:t>vait</w:t>
      </w:r>
      <w:r w:rsidRPr="00570D8F">
        <w:rPr>
          <w:lang w:val="fr-FR"/>
        </w:rPr>
        <w:t xml:space="preserve"> approuvé </w:t>
      </w:r>
      <w:r>
        <w:rPr>
          <w:lang w:val="fr-FR"/>
        </w:rPr>
        <w:t>le fait de convertir l’évènement en présentiel en une réunion virtuelle</w:t>
      </w:r>
      <w:r w:rsidRPr="00570D8F">
        <w:rPr>
          <w:lang w:val="fr-FR"/>
        </w:rPr>
        <w:t>. Cette décision a</w:t>
      </w:r>
      <w:r>
        <w:rPr>
          <w:lang w:val="fr-FR"/>
        </w:rPr>
        <w:t>vait</w:t>
      </w:r>
      <w:r w:rsidRPr="00570D8F">
        <w:rPr>
          <w:lang w:val="fr-FR"/>
        </w:rPr>
        <w:t xml:space="preserve"> été prise principalement en raison </w:t>
      </w:r>
      <w:r>
        <w:rPr>
          <w:lang w:val="fr-FR"/>
        </w:rPr>
        <w:t>de</w:t>
      </w:r>
      <w:r w:rsidRPr="00570D8F">
        <w:rPr>
          <w:lang w:val="fr-FR"/>
        </w:rPr>
        <w:t xml:space="preserve"> l'incertitude </w:t>
      </w:r>
      <w:r>
        <w:rPr>
          <w:lang w:val="fr-FR"/>
        </w:rPr>
        <w:t>quant au déplacement des</w:t>
      </w:r>
      <w:r w:rsidRPr="00570D8F">
        <w:rPr>
          <w:lang w:val="fr-FR"/>
        </w:rPr>
        <w:t xml:space="preserve"> participants </w:t>
      </w:r>
      <w:r>
        <w:rPr>
          <w:lang w:val="fr-FR"/>
        </w:rPr>
        <w:t>pour</w:t>
      </w:r>
      <w:r w:rsidRPr="00570D8F">
        <w:rPr>
          <w:lang w:val="fr-FR"/>
        </w:rPr>
        <w:t xml:space="preserve"> se rendre en Nouvelle-Calédonie pour assister à la réunion.  </w:t>
      </w:r>
    </w:p>
    <w:p w14:paraId="37BC3134" w14:textId="7BB5EE89" w:rsidR="00570D8F" w:rsidRPr="00570D8F" w:rsidRDefault="00570D8F" w:rsidP="0042340F">
      <w:pPr>
        <w:jc w:val="both"/>
        <w:rPr>
          <w:lang w:val="fr-FR"/>
        </w:rPr>
      </w:pPr>
      <w:r w:rsidRPr="00570D8F">
        <w:rPr>
          <w:lang w:val="fr-FR"/>
        </w:rPr>
        <w:t xml:space="preserve">Par conséquent, pour </w:t>
      </w:r>
      <w:r>
        <w:rPr>
          <w:lang w:val="fr-FR"/>
        </w:rPr>
        <w:t>assurer</w:t>
      </w:r>
      <w:r w:rsidRPr="00570D8F">
        <w:rPr>
          <w:lang w:val="fr-FR"/>
        </w:rPr>
        <w:t xml:space="preserve"> la réussite de </w:t>
      </w:r>
      <w:r>
        <w:rPr>
          <w:lang w:val="fr-FR"/>
        </w:rPr>
        <w:t>la 3</w:t>
      </w:r>
      <w:r w:rsidRPr="00570D8F">
        <w:rPr>
          <w:vertAlign w:val="superscript"/>
          <w:lang w:val="fr-FR"/>
        </w:rPr>
        <w:t>ème</w:t>
      </w:r>
      <w:r>
        <w:rPr>
          <w:lang w:val="fr-FR"/>
        </w:rPr>
        <w:t xml:space="preserve"> table ronde</w:t>
      </w:r>
      <w:r w:rsidRPr="00570D8F">
        <w:rPr>
          <w:lang w:val="fr-FR"/>
        </w:rPr>
        <w:t xml:space="preserve">, le </w:t>
      </w:r>
      <w:r>
        <w:rPr>
          <w:lang w:val="fr-FR"/>
        </w:rPr>
        <w:t>PROE avait</w:t>
      </w:r>
      <w:r w:rsidRPr="00570D8F">
        <w:rPr>
          <w:lang w:val="fr-FR"/>
        </w:rPr>
        <w:t xml:space="preserve"> </w:t>
      </w:r>
      <w:r w:rsidR="00726F77">
        <w:rPr>
          <w:lang w:val="fr-FR"/>
        </w:rPr>
        <w:t>passé</w:t>
      </w:r>
      <w:r>
        <w:rPr>
          <w:lang w:val="fr-FR"/>
        </w:rPr>
        <w:t xml:space="preserve"> un marché avec</w:t>
      </w:r>
      <w:r w:rsidRPr="00570D8F">
        <w:rPr>
          <w:lang w:val="fr-FR"/>
        </w:rPr>
        <w:t xml:space="preserve"> Insight </w:t>
      </w:r>
      <w:proofErr w:type="spellStart"/>
      <w:r w:rsidRPr="00570D8F">
        <w:rPr>
          <w:lang w:val="fr-FR"/>
        </w:rPr>
        <w:t>Pact</w:t>
      </w:r>
      <w:proofErr w:type="spellEnd"/>
      <w:r w:rsidRPr="00570D8F">
        <w:rPr>
          <w:lang w:val="fr-FR"/>
        </w:rPr>
        <w:t xml:space="preserve">, une société </w:t>
      </w:r>
      <w:r w:rsidR="00726F77">
        <w:rPr>
          <w:lang w:val="fr-FR"/>
        </w:rPr>
        <w:t xml:space="preserve">d’événementiel </w:t>
      </w:r>
      <w:r w:rsidRPr="00570D8F">
        <w:rPr>
          <w:lang w:val="fr-FR"/>
        </w:rPr>
        <w:t>expérimentée qui</w:t>
      </w:r>
      <w:r w:rsidR="00726F77">
        <w:rPr>
          <w:lang w:val="fr-FR"/>
        </w:rPr>
        <w:t xml:space="preserve"> a</w:t>
      </w:r>
      <w:r w:rsidRPr="00570D8F">
        <w:rPr>
          <w:lang w:val="fr-FR"/>
        </w:rPr>
        <w:t xml:space="preserve"> </w:t>
      </w:r>
      <w:r w:rsidR="00726F77">
        <w:rPr>
          <w:lang w:val="fr-FR"/>
        </w:rPr>
        <w:t>organisé</w:t>
      </w:r>
      <w:r w:rsidRPr="00570D8F">
        <w:rPr>
          <w:lang w:val="fr-FR"/>
        </w:rPr>
        <w:t xml:space="preserve"> l'événement en utilisant une plateforme et une infrastructure virtuelles.  </w:t>
      </w:r>
    </w:p>
    <w:p w14:paraId="358D4DBA" w14:textId="0AFCB027" w:rsidR="00726F77" w:rsidRPr="00726F77" w:rsidRDefault="00726F77" w:rsidP="0042340F">
      <w:pPr>
        <w:jc w:val="both"/>
        <w:rPr>
          <w:lang w:val="fr-FR"/>
        </w:rPr>
      </w:pPr>
      <w:r>
        <w:rPr>
          <w:lang w:val="fr-FR"/>
        </w:rPr>
        <w:lastRenderedPageBreak/>
        <w:t>Le choix de recruter</w:t>
      </w:r>
      <w:r w:rsidRPr="00726F77">
        <w:rPr>
          <w:lang w:val="fr-FR"/>
        </w:rPr>
        <w:t xml:space="preserve"> Insight P</w:t>
      </w:r>
      <w:proofErr w:type="spellStart"/>
      <w:r w:rsidRPr="00726F77">
        <w:rPr>
          <w:lang w:val="fr-FR"/>
        </w:rPr>
        <w:t>act</w:t>
      </w:r>
      <w:proofErr w:type="spellEnd"/>
      <w:r w:rsidRPr="00726F77">
        <w:rPr>
          <w:lang w:val="fr-FR"/>
        </w:rPr>
        <w:t xml:space="preserve"> était </w:t>
      </w:r>
      <w:r>
        <w:rPr>
          <w:lang w:val="fr-FR"/>
        </w:rPr>
        <w:t xml:space="preserve">dû à la nécessité de faire appel à </w:t>
      </w:r>
      <w:r w:rsidRPr="00726F77">
        <w:rPr>
          <w:lang w:val="fr-FR"/>
        </w:rPr>
        <w:t>un fournisseur de plateforme virtuelle compétent qui p</w:t>
      </w:r>
      <w:r>
        <w:rPr>
          <w:lang w:val="fr-FR"/>
        </w:rPr>
        <w:t>ouvait</w:t>
      </w:r>
      <w:r w:rsidRPr="00726F77">
        <w:rPr>
          <w:lang w:val="fr-FR"/>
        </w:rPr>
        <w:t xml:space="preserve"> </w:t>
      </w:r>
      <w:r>
        <w:rPr>
          <w:lang w:val="fr-FR"/>
        </w:rPr>
        <w:t>à la fois concevoir l</w:t>
      </w:r>
      <w:r w:rsidRPr="00726F77">
        <w:rPr>
          <w:lang w:val="fr-FR"/>
        </w:rPr>
        <w:t xml:space="preserve">e site </w:t>
      </w:r>
      <w:r>
        <w:rPr>
          <w:lang w:val="fr-FR"/>
        </w:rPr>
        <w:t>internet</w:t>
      </w:r>
      <w:r w:rsidRPr="00726F77">
        <w:rPr>
          <w:lang w:val="fr-FR"/>
        </w:rPr>
        <w:t xml:space="preserve"> de l'événement </w:t>
      </w:r>
      <w:r>
        <w:rPr>
          <w:lang w:val="fr-FR"/>
        </w:rPr>
        <w:t>mais également fournir</w:t>
      </w:r>
      <w:r w:rsidRPr="00726F77">
        <w:rPr>
          <w:lang w:val="fr-FR"/>
        </w:rPr>
        <w:t xml:space="preserve"> </w:t>
      </w:r>
      <w:r>
        <w:rPr>
          <w:lang w:val="fr-FR"/>
        </w:rPr>
        <w:t>une</w:t>
      </w:r>
      <w:r w:rsidRPr="00726F77">
        <w:rPr>
          <w:lang w:val="fr-FR"/>
        </w:rPr>
        <w:t xml:space="preserve"> plateforme virtuelle pour accueillir les sessions techniques et les tables rondes, ainsi que les événements promotionnels associés. Insight </w:t>
      </w:r>
      <w:proofErr w:type="spellStart"/>
      <w:r w:rsidRPr="00726F77">
        <w:rPr>
          <w:lang w:val="fr-FR"/>
        </w:rPr>
        <w:t>Pact</w:t>
      </w:r>
      <w:proofErr w:type="spellEnd"/>
      <w:r w:rsidRPr="00726F77">
        <w:rPr>
          <w:lang w:val="fr-FR"/>
        </w:rPr>
        <w:t xml:space="preserve"> devait également gérer les sessions en direct, </w:t>
      </w:r>
      <w:r>
        <w:rPr>
          <w:lang w:val="fr-FR"/>
        </w:rPr>
        <w:t xml:space="preserve">impliquer les participants </w:t>
      </w:r>
      <w:r w:rsidRPr="00726F77">
        <w:rPr>
          <w:lang w:val="fr-FR"/>
        </w:rPr>
        <w:t>en ligne</w:t>
      </w:r>
      <w:r>
        <w:rPr>
          <w:lang w:val="fr-FR"/>
        </w:rPr>
        <w:t xml:space="preserve"> dans l’événement </w:t>
      </w:r>
      <w:r w:rsidRPr="00726F77">
        <w:rPr>
          <w:lang w:val="fr-FR"/>
        </w:rPr>
        <w:t xml:space="preserve">et aider au développement et au déploiement des activités </w:t>
      </w:r>
      <w:r>
        <w:rPr>
          <w:lang w:val="fr-FR"/>
        </w:rPr>
        <w:t xml:space="preserve">et </w:t>
      </w:r>
      <w:r w:rsidRPr="00726F77">
        <w:rPr>
          <w:lang w:val="fr-FR"/>
        </w:rPr>
        <w:t>matériel</w:t>
      </w:r>
      <w:r>
        <w:rPr>
          <w:lang w:val="fr-FR"/>
        </w:rPr>
        <w:t>s</w:t>
      </w:r>
      <w:r w:rsidRPr="00726F77">
        <w:rPr>
          <w:lang w:val="fr-FR"/>
        </w:rPr>
        <w:t xml:space="preserve"> promotionnel</w:t>
      </w:r>
      <w:r>
        <w:rPr>
          <w:lang w:val="fr-FR"/>
        </w:rPr>
        <w:t>s</w:t>
      </w:r>
      <w:r w:rsidRPr="00726F77">
        <w:rPr>
          <w:lang w:val="fr-FR"/>
        </w:rPr>
        <w:t xml:space="preserve"> liés à l'événement. </w:t>
      </w:r>
    </w:p>
    <w:p w14:paraId="32837BF7" w14:textId="7828C50C" w:rsidR="00726F77" w:rsidRPr="00726F77" w:rsidRDefault="00726F77" w:rsidP="0042340F">
      <w:pPr>
        <w:jc w:val="both"/>
        <w:rPr>
          <w:lang w:val="fr-FR"/>
        </w:rPr>
      </w:pPr>
      <w:r w:rsidRPr="00726F77">
        <w:rPr>
          <w:lang w:val="fr-FR"/>
        </w:rPr>
        <w:t xml:space="preserve">Pendant l'événement, Insight </w:t>
      </w:r>
      <w:proofErr w:type="spellStart"/>
      <w:r w:rsidRPr="00726F77">
        <w:rPr>
          <w:lang w:val="fr-FR"/>
        </w:rPr>
        <w:t>Pact</w:t>
      </w:r>
      <w:proofErr w:type="spellEnd"/>
      <w:r w:rsidRPr="00726F77">
        <w:rPr>
          <w:lang w:val="fr-FR"/>
        </w:rPr>
        <w:t xml:space="preserve"> a utilisé </w:t>
      </w:r>
      <w:r>
        <w:rPr>
          <w:lang w:val="fr-FR"/>
        </w:rPr>
        <w:t>la</w:t>
      </w:r>
      <w:r w:rsidRPr="00726F77">
        <w:rPr>
          <w:lang w:val="fr-FR"/>
        </w:rPr>
        <w:t xml:space="preserve"> plateforme virtuelle</w:t>
      </w:r>
      <w:r>
        <w:rPr>
          <w:lang w:val="fr-FR"/>
        </w:rPr>
        <w:t xml:space="preserve"> </w:t>
      </w:r>
      <w:proofErr w:type="spellStart"/>
      <w:r w:rsidRPr="00726F77">
        <w:rPr>
          <w:lang w:val="fr-FR"/>
        </w:rPr>
        <w:t>Hubilo</w:t>
      </w:r>
      <w:proofErr w:type="spellEnd"/>
      <w:r w:rsidRPr="00726F77">
        <w:rPr>
          <w:lang w:val="fr-FR"/>
        </w:rPr>
        <w:t xml:space="preserve">. 455 personnes ont été enregistrées sur la plateforme, et 266 d'entre elles se sont connectées au cours des </w:t>
      </w:r>
      <w:r>
        <w:rPr>
          <w:lang w:val="fr-FR"/>
        </w:rPr>
        <w:t>différentes sessions</w:t>
      </w:r>
      <w:r w:rsidRPr="00726F77">
        <w:rPr>
          <w:lang w:val="fr-FR"/>
        </w:rPr>
        <w:t xml:space="preserve"> de l'événement. Les pics d'utilisation ont eu lieu les 16 et 24 novembre, le nombre d'utilisateurs actifs sur la plateforme se situant entre 2 et 48 </w:t>
      </w:r>
      <w:r>
        <w:rPr>
          <w:lang w:val="fr-FR"/>
        </w:rPr>
        <w:t>selon</w:t>
      </w:r>
      <w:r w:rsidRPr="00726F77">
        <w:rPr>
          <w:lang w:val="fr-FR"/>
        </w:rPr>
        <w:t xml:space="preserve"> les dates de l'événement. Sur la base de ces informations concernant les utilisateurs actifs de </w:t>
      </w:r>
      <w:proofErr w:type="spellStart"/>
      <w:r w:rsidRPr="00726F77">
        <w:rPr>
          <w:lang w:val="fr-FR"/>
        </w:rPr>
        <w:t>Hubilo</w:t>
      </w:r>
      <w:proofErr w:type="spellEnd"/>
      <w:r>
        <w:rPr>
          <w:lang w:val="fr-FR"/>
        </w:rPr>
        <w:t xml:space="preserve">, le </w:t>
      </w:r>
      <w:r w:rsidRPr="00726F77">
        <w:rPr>
          <w:lang w:val="fr-FR"/>
        </w:rPr>
        <w:t xml:space="preserve">nombre réel de participants </w:t>
      </w:r>
      <w:r w:rsidR="007E1222">
        <w:rPr>
          <w:lang w:val="fr-FR"/>
        </w:rPr>
        <w:t xml:space="preserve">présents </w:t>
      </w:r>
      <w:r w:rsidRPr="00726F77">
        <w:rPr>
          <w:lang w:val="fr-FR"/>
        </w:rPr>
        <w:t xml:space="preserve">en direct à chaque session se situait entre 40 et 100 </w:t>
      </w:r>
      <w:r w:rsidR="007E1222">
        <w:rPr>
          <w:lang w:val="fr-FR"/>
        </w:rPr>
        <w:t>personnes</w:t>
      </w:r>
      <w:r w:rsidRPr="00726F77">
        <w:rPr>
          <w:lang w:val="fr-FR"/>
        </w:rPr>
        <w:t xml:space="preserve"> par session.</w:t>
      </w:r>
    </w:p>
    <w:p w14:paraId="1D0FD0DC" w14:textId="77777777" w:rsidR="001270FD" w:rsidRPr="00726F77" w:rsidRDefault="001270FD" w:rsidP="001270FD">
      <w:pPr>
        <w:rPr>
          <w:rStyle w:val="Heading1Char"/>
          <w:rFonts w:asciiTheme="minorHAnsi" w:eastAsiaTheme="minorHAnsi" w:hAnsiTheme="minorHAnsi" w:cstheme="minorBidi"/>
          <w:color w:val="auto"/>
          <w:sz w:val="22"/>
          <w:szCs w:val="22"/>
          <w:lang w:val="fr-FR"/>
        </w:rPr>
      </w:pPr>
    </w:p>
    <w:p w14:paraId="27602FC2" w14:textId="77777777" w:rsidR="00726F77" w:rsidRPr="00726F77" w:rsidRDefault="00726F77" w:rsidP="001270FD">
      <w:pPr>
        <w:rPr>
          <w:rStyle w:val="Heading1Char"/>
          <w:rFonts w:asciiTheme="minorHAnsi" w:eastAsiaTheme="minorHAnsi" w:hAnsiTheme="minorHAnsi" w:cstheme="minorBidi"/>
          <w:color w:val="auto"/>
          <w:sz w:val="22"/>
          <w:szCs w:val="22"/>
          <w:lang w:val="fr-FR"/>
        </w:rPr>
      </w:pPr>
    </w:p>
    <w:tbl>
      <w:tblPr>
        <w:tblStyle w:val="TableGrid1"/>
        <w:tblW w:w="0" w:type="auto"/>
        <w:tblLook w:val="04A0" w:firstRow="1" w:lastRow="0" w:firstColumn="1" w:lastColumn="0" w:noHBand="0" w:noVBand="1"/>
      </w:tblPr>
      <w:tblGrid>
        <w:gridCol w:w="1512"/>
        <w:gridCol w:w="7504"/>
      </w:tblGrid>
      <w:tr w:rsidR="002970D6" w:rsidRPr="00CF7E39" w14:paraId="22EB9787" w14:textId="77777777" w:rsidTr="00C15D90">
        <w:trPr>
          <w:trHeight w:val="256"/>
        </w:trPr>
        <w:tc>
          <w:tcPr>
            <w:tcW w:w="1512" w:type="dxa"/>
          </w:tcPr>
          <w:p w14:paraId="42C90CDE" w14:textId="1137A504" w:rsidR="000E1C2C" w:rsidRPr="007E1222" w:rsidRDefault="000E1C2C" w:rsidP="000E1C2C">
            <w:pPr>
              <w:rPr>
                <w:rStyle w:val="Heading1Char"/>
                <w:rFonts w:cstheme="majorHAnsi"/>
                <w:sz w:val="22"/>
                <w:szCs w:val="22"/>
              </w:rPr>
            </w:pPr>
            <w:bookmarkStart w:id="1" w:name="_Toc52972314"/>
            <w:r w:rsidRPr="007E1222">
              <w:rPr>
                <w:rStyle w:val="Heading1Char"/>
                <w:rFonts w:cstheme="majorHAnsi"/>
                <w:sz w:val="22"/>
                <w:szCs w:val="22"/>
              </w:rPr>
              <w:t>Tit</w:t>
            </w:r>
            <w:r w:rsidR="00726F77" w:rsidRPr="007E1222">
              <w:rPr>
                <w:rStyle w:val="Heading1Char"/>
                <w:rFonts w:cstheme="majorHAnsi"/>
                <w:sz w:val="22"/>
                <w:szCs w:val="22"/>
              </w:rPr>
              <w:t>r</w:t>
            </w:r>
            <w:r w:rsidRPr="007E1222">
              <w:rPr>
                <w:rStyle w:val="Heading1Char"/>
                <w:rFonts w:cstheme="majorHAnsi"/>
                <w:sz w:val="22"/>
                <w:szCs w:val="22"/>
              </w:rPr>
              <w:t>e</w:t>
            </w:r>
            <w:bookmarkEnd w:id="1"/>
            <w:r w:rsidRPr="007E1222">
              <w:rPr>
                <w:rStyle w:val="Heading1Char"/>
                <w:rFonts w:cstheme="majorHAnsi"/>
                <w:sz w:val="22"/>
                <w:szCs w:val="22"/>
              </w:rPr>
              <w:t xml:space="preserve"> </w:t>
            </w:r>
          </w:p>
        </w:tc>
        <w:tc>
          <w:tcPr>
            <w:tcW w:w="7504" w:type="dxa"/>
          </w:tcPr>
          <w:p w14:paraId="35FF6C54" w14:textId="734E8FD0" w:rsidR="000E1C2C" w:rsidRPr="00CF7E39" w:rsidRDefault="007E1222" w:rsidP="007E1222">
            <w:pPr>
              <w:jc w:val="both"/>
              <w:rPr>
                <w:rStyle w:val="Heading1Char"/>
                <w:rFonts w:cstheme="majorHAnsi"/>
                <w:b/>
                <w:bCs/>
                <w:sz w:val="22"/>
                <w:szCs w:val="22"/>
                <w:lang w:val="fr-FR"/>
              </w:rPr>
            </w:pPr>
            <w:r w:rsidRPr="007E1222">
              <w:rPr>
                <w:lang w:val="fr-FR"/>
              </w:rPr>
              <w:t>I</w:t>
            </w:r>
            <w:r w:rsidR="000E1C2C" w:rsidRPr="007E1222">
              <w:rPr>
                <w:lang w:val="fr-FR"/>
              </w:rPr>
              <w:t>nnovations</w:t>
            </w:r>
            <w:r w:rsidRPr="007E1222">
              <w:rPr>
                <w:lang w:val="fr-FR"/>
              </w:rPr>
              <w:t xml:space="preserve"> durables pour un </w:t>
            </w:r>
            <w:r w:rsidRPr="007E1222">
              <w:rPr>
                <w:b/>
                <w:bCs/>
                <w:lang w:val="fr-FR"/>
              </w:rPr>
              <w:t>environnement propre, un océan résilient et des communautés en bonne santé</w:t>
            </w:r>
          </w:p>
        </w:tc>
      </w:tr>
      <w:tr w:rsidR="00857415" w:rsidRPr="00CF7E39" w14:paraId="23AD910B" w14:textId="77777777" w:rsidTr="00C15D90">
        <w:trPr>
          <w:trHeight w:val="1411"/>
        </w:trPr>
        <w:tc>
          <w:tcPr>
            <w:tcW w:w="1512" w:type="dxa"/>
          </w:tcPr>
          <w:p w14:paraId="6C9ED472" w14:textId="614F11C0" w:rsidR="000E1C2C" w:rsidRPr="007E1222" w:rsidRDefault="00726F77" w:rsidP="000E1C2C">
            <w:pPr>
              <w:rPr>
                <w:rStyle w:val="Heading1Char"/>
                <w:rFonts w:cstheme="majorHAnsi"/>
                <w:sz w:val="22"/>
                <w:szCs w:val="22"/>
              </w:rPr>
            </w:pPr>
            <w:r w:rsidRPr="007E1222">
              <w:rPr>
                <w:rStyle w:val="Heading1Char"/>
                <w:rFonts w:cstheme="majorHAnsi"/>
                <w:sz w:val="22"/>
                <w:szCs w:val="22"/>
              </w:rPr>
              <w:t>Object</w:t>
            </w:r>
          </w:p>
        </w:tc>
        <w:tc>
          <w:tcPr>
            <w:tcW w:w="7504" w:type="dxa"/>
          </w:tcPr>
          <w:p w14:paraId="31DEDA09" w14:textId="6EBAB59C" w:rsidR="007E1222" w:rsidRPr="007E1222" w:rsidRDefault="007E1222" w:rsidP="001270FD">
            <w:p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F</w:t>
            </w:r>
            <w:r w:rsidRPr="007E1222">
              <w:rPr>
                <w:rFonts w:asciiTheme="majorHAnsi" w:eastAsia="Times New Roman" w:hAnsiTheme="majorHAnsi" w:cstheme="majorHAnsi"/>
                <w:lang w:val="fr-FR"/>
              </w:rPr>
              <w:t>ournir un outil pour promouvoir la collaboration régionale, faire connaitre les initiatives nationales, encourage la complémentarité des ressources, et renforcer la mise en réseau pour aider les pays et territoires insulaires du Pacifique dans la mise en œuvre de pratiques de gestion des déchets fiables et durables, afin de prévenir les problèmes de pollution qui ont un impact sur la santé des océans, mais également des communautés qui vivent dans la région</w:t>
            </w:r>
            <w:r w:rsidRPr="007E1222">
              <w:rPr>
                <w:rFonts w:asciiTheme="majorHAnsi" w:eastAsia="Times New Roman" w:hAnsiTheme="majorHAnsi" w:cstheme="majorHAnsi"/>
                <w:lang w:val="fr-FR"/>
              </w:rPr>
              <w:t> :</w:t>
            </w:r>
          </w:p>
          <w:p w14:paraId="03C78F7F" w14:textId="75140A44" w:rsidR="007E1222" w:rsidRPr="007E1222" w:rsidRDefault="007E1222" w:rsidP="001270FD">
            <w:pPr>
              <w:pStyle w:val="ListParagraph"/>
              <w:numPr>
                <w:ilvl w:val="0"/>
                <w:numId w:val="41"/>
              </w:num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Présenter les activités entreprises pour mettre en œuvre la stratégie « pour une Pacifique plus propre 2025 »</w:t>
            </w:r>
            <w:r w:rsidR="008A1157">
              <w:rPr>
                <w:rFonts w:asciiTheme="majorHAnsi" w:eastAsia="Times New Roman" w:hAnsiTheme="majorHAnsi" w:cstheme="majorHAnsi"/>
                <w:lang w:val="fr-FR"/>
              </w:rPr>
              <w:t>.</w:t>
            </w:r>
          </w:p>
          <w:p w14:paraId="77F6B436" w14:textId="1CDAC68B" w:rsidR="007E1222" w:rsidRPr="007E1222" w:rsidRDefault="007E1222" w:rsidP="007E1222">
            <w:pPr>
              <w:pStyle w:val="ListParagraph"/>
              <w:numPr>
                <w:ilvl w:val="0"/>
                <w:numId w:val="41"/>
              </w:num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Identifier</w:t>
            </w:r>
            <w:r w:rsidRPr="007E1222">
              <w:rPr>
                <w:rFonts w:asciiTheme="majorHAnsi" w:eastAsia="Times New Roman" w:hAnsiTheme="majorHAnsi" w:cstheme="majorHAnsi"/>
                <w:lang w:val="fr-FR"/>
              </w:rPr>
              <w:t xml:space="preserve"> et explorer les possibilités de collaboration et de partenariat afin d'innover et d'améliorer la gestion des déchets dans le Pacifique</w:t>
            </w:r>
            <w:r w:rsidR="008A1157">
              <w:rPr>
                <w:rFonts w:asciiTheme="majorHAnsi" w:eastAsia="Times New Roman" w:hAnsiTheme="majorHAnsi" w:cstheme="majorHAnsi"/>
                <w:lang w:val="fr-FR"/>
              </w:rPr>
              <w:t>.</w:t>
            </w:r>
          </w:p>
          <w:p w14:paraId="4E6C791F" w14:textId="0FFF9572" w:rsidR="007E1222" w:rsidRPr="007E1222" w:rsidRDefault="007E1222" w:rsidP="007E1222">
            <w:pPr>
              <w:pStyle w:val="ListParagraph"/>
              <w:numPr>
                <w:ilvl w:val="0"/>
                <w:numId w:val="41"/>
              </w:num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F</w:t>
            </w:r>
            <w:r w:rsidRPr="007E1222">
              <w:rPr>
                <w:rFonts w:asciiTheme="majorHAnsi" w:eastAsia="Times New Roman" w:hAnsiTheme="majorHAnsi" w:cstheme="majorHAnsi"/>
                <w:lang w:val="fr-FR"/>
              </w:rPr>
              <w:t>aciliter la mise en réseau et le dialogue entre les acteurs de la gestion des déchets dans la région du Pacifique</w:t>
            </w:r>
            <w:r w:rsidR="008A1157">
              <w:rPr>
                <w:rFonts w:asciiTheme="majorHAnsi" w:eastAsia="Times New Roman" w:hAnsiTheme="majorHAnsi" w:cstheme="majorHAnsi"/>
                <w:lang w:val="fr-FR"/>
              </w:rPr>
              <w:t>.</w:t>
            </w:r>
          </w:p>
          <w:p w14:paraId="326F7DB1" w14:textId="5B14ECD0" w:rsidR="007E1222" w:rsidRPr="007E1222" w:rsidRDefault="007E1222" w:rsidP="007E1222">
            <w:pPr>
              <w:pStyle w:val="ListParagraph"/>
              <w:numPr>
                <w:ilvl w:val="0"/>
                <w:numId w:val="41"/>
              </w:num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 xml:space="preserve">Améliorer la coordination </w:t>
            </w:r>
            <w:r w:rsidRPr="007E1222">
              <w:rPr>
                <w:rFonts w:asciiTheme="majorHAnsi" w:eastAsia="Times New Roman" w:hAnsiTheme="majorHAnsi" w:cstheme="majorHAnsi"/>
                <w:lang w:val="fr-FR"/>
              </w:rPr>
              <w:t>entre les bailleurs de fonds</w:t>
            </w:r>
            <w:r w:rsidR="008A1157">
              <w:rPr>
                <w:rFonts w:asciiTheme="majorHAnsi" w:eastAsia="Times New Roman" w:hAnsiTheme="majorHAnsi" w:cstheme="majorHAnsi"/>
                <w:lang w:val="fr-FR"/>
              </w:rPr>
              <w:t>.</w:t>
            </w:r>
          </w:p>
          <w:p w14:paraId="7A35CA8F" w14:textId="4CCDBC75" w:rsidR="007E1222" w:rsidRPr="007E1222" w:rsidRDefault="007E1222" w:rsidP="007E1222">
            <w:pPr>
              <w:pStyle w:val="ListParagraph"/>
              <w:numPr>
                <w:ilvl w:val="0"/>
                <w:numId w:val="41"/>
              </w:num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Mobiliser des ressources techniques et financières</w:t>
            </w:r>
            <w:r w:rsidR="008A1157">
              <w:rPr>
                <w:rFonts w:asciiTheme="majorHAnsi" w:eastAsia="Times New Roman" w:hAnsiTheme="majorHAnsi" w:cstheme="majorHAnsi"/>
                <w:lang w:val="fr-FR"/>
              </w:rPr>
              <w:t>.</w:t>
            </w:r>
          </w:p>
          <w:p w14:paraId="7CA8D94A" w14:textId="0BC3A6A1" w:rsidR="007E1222" w:rsidRPr="007E1222" w:rsidRDefault="007E1222" w:rsidP="007E1222">
            <w:pPr>
              <w:pStyle w:val="ListParagraph"/>
              <w:numPr>
                <w:ilvl w:val="0"/>
                <w:numId w:val="41"/>
              </w:numPr>
              <w:spacing w:after="240"/>
              <w:rPr>
                <w:rFonts w:asciiTheme="majorHAnsi" w:eastAsia="Times New Roman" w:hAnsiTheme="majorHAnsi" w:cstheme="majorHAnsi"/>
                <w:lang w:val="fr-FR"/>
              </w:rPr>
            </w:pPr>
            <w:r w:rsidRPr="007E1222">
              <w:rPr>
                <w:rFonts w:asciiTheme="majorHAnsi" w:eastAsia="Times New Roman" w:hAnsiTheme="majorHAnsi" w:cstheme="majorHAnsi"/>
                <w:lang w:val="fr-FR"/>
              </w:rPr>
              <w:t xml:space="preserve">Développer des méthodes de suivi et </w:t>
            </w:r>
            <w:r w:rsidRPr="007E1222">
              <w:rPr>
                <w:rFonts w:asciiTheme="majorHAnsi" w:eastAsia="Times New Roman" w:hAnsiTheme="majorHAnsi" w:cstheme="majorHAnsi"/>
                <w:lang w:val="fr-FR"/>
              </w:rPr>
              <w:t>d’élaboration</w:t>
            </w:r>
            <w:r w:rsidRPr="007E1222">
              <w:rPr>
                <w:rFonts w:asciiTheme="majorHAnsi" w:eastAsia="Times New Roman" w:hAnsiTheme="majorHAnsi" w:cstheme="majorHAnsi"/>
                <w:lang w:val="fr-FR"/>
              </w:rPr>
              <w:t xml:space="preserve"> de rapports</w:t>
            </w:r>
            <w:r w:rsidR="008A1157">
              <w:rPr>
                <w:rFonts w:asciiTheme="majorHAnsi" w:eastAsia="Times New Roman" w:hAnsiTheme="majorHAnsi" w:cstheme="majorHAnsi"/>
                <w:lang w:val="fr-FR"/>
              </w:rPr>
              <w:t>.</w:t>
            </w:r>
          </w:p>
          <w:p w14:paraId="24491B6B" w14:textId="753F4B51" w:rsidR="0072733D" w:rsidRPr="00CF7E39" w:rsidRDefault="007E1222" w:rsidP="007E1222">
            <w:pPr>
              <w:pStyle w:val="ListParagraph"/>
              <w:numPr>
                <w:ilvl w:val="0"/>
                <w:numId w:val="41"/>
              </w:numPr>
              <w:spacing w:after="240"/>
              <w:rPr>
                <w:lang w:val="fr-FR"/>
              </w:rPr>
            </w:pPr>
            <w:r w:rsidRPr="007E1222">
              <w:rPr>
                <w:rFonts w:asciiTheme="majorHAnsi" w:eastAsia="Times New Roman" w:hAnsiTheme="majorHAnsi" w:cstheme="majorHAnsi"/>
                <w:lang w:val="fr-FR"/>
              </w:rPr>
              <w:t xml:space="preserve">Fournir un </w:t>
            </w:r>
            <w:r w:rsidRPr="007E1222">
              <w:rPr>
                <w:rFonts w:asciiTheme="majorHAnsi" w:eastAsia="Times New Roman" w:hAnsiTheme="majorHAnsi" w:cstheme="majorHAnsi"/>
                <w:lang w:val="fr-FR"/>
              </w:rPr>
              <w:t>outil</w:t>
            </w:r>
            <w:r w:rsidRPr="007E1222">
              <w:rPr>
                <w:rFonts w:asciiTheme="majorHAnsi" w:eastAsia="Times New Roman" w:hAnsiTheme="majorHAnsi" w:cstheme="majorHAnsi"/>
                <w:lang w:val="fr-FR"/>
              </w:rPr>
              <w:t xml:space="preserve"> pour </w:t>
            </w:r>
            <w:r w:rsidRPr="007E1222">
              <w:rPr>
                <w:rFonts w:asciiTheme="majorHAnsi" w:eastAsia="Times New Roman" w:hAnsiTheme="majorHAnsi" w:cstheme="majorHAnsi"/>
                <w:lang w:val="fr-FR"/>
              </w:rPr>
              <w:t>la mise en place d’</w:t>
            </w:r>
            <w:r w:rsidRPr="007E1222">
              <w:rPr>
                <w:rFonts w:asciiTheme="majorHAnsi" w:eastAsia="Times New Roman" w:hAnsiTheme="majorHAnsi" w:cstheme="majorHAnsi"/>
                <w:lang w:val="fr-FR"/>
              </w:rPr>
              <w:t>accord</w:t>
            </w:r>
            <w:r w:rsidRPr="007E1222">
              <w:rPr>
                <w:rFonts w:asciiTheme="majorHAnsi" w:eastAsia="Times New Roman" w:hAnsiTheme="majorHAnsi" w:cstheme="majorHAnsi"/>
                <w:lang w:val="fr-FR"/>
              </w:rPr>
              <w:t>s</w:t>
            </w:r>
            <w:r w:rsidRPr="007E1222">
              <w:rPr>
                <w:rFonts w:asciiTheme="majorHAnsi" w:eastAsia="Times New Roman" w:hAnsiTheme="majorHAnsi" w:cstheme="majorHAnsi"/>
                <w:lang w:val="fr-FR"/>
              </w:rPr>
              <w:t xml:space="preserve"> et </w:t>
            </w:r>
            <w:r w:rsidRPr="007E1222">
              <w:rPr>
                <w:rFonts w:asciiTheme="majorHAnsi" w:eastAsia="Times New Roman" w:hAnsiTheme="majorHAnsi" w:cstheme="majorHAnsi"/>
                <w:lang w:val="fr-FR"/>
              </w:rPr>
              <w:t>d’</w:t>
            </w:r>
            <w:r w:rsidRPr="007E1222">
              <w:rPr>
                <w:rFonts w:asciiTheme="majorHAnsi" w:eastAsia="Times New Roman" w:hAnsiTheme="majorHAnsi" w:cstheme="majorHAnsi"/>
                <w:lang w:val="fr-FR"/>
              </w:rPr>
              <w:t>action</w:t>
            </w:r>
            <w:r w:rsidRPr="007E1222">
              <w:rPr>
                <w:rFonts w:asciiTheme="majorHAnsi" w:eastAsia="Times New Roman" w:hAnsiTheme="majorHAnsi" w:cstheme="majorHAnsi"/>
                <w:lang w:val="fr-FR"/>
              </w:rPr>
              <w:t>s</w:t>
            </w:r>
            <w:r w:rsidRPr="007E1222">
              <w:rPr>
                <w:rFonts w:asciiTheme="majorHAnsi" w:eastAsia="Times New Roman" w:hAnsiTheme="majorHAnsi" w:cstheme="majorHAnsi"/>
                <w:lang w:val="fr-FR"/>
              </w:rPr>
              <w:t xml:space="preserve"> de haut niveau afin de </w:t>
            </w:r>
            <w:r w:rsidRPr="007E1222">
              <w:rPr>
                <w:rFonts w:asciiTheme="majorHAnsi" w:eastAsia="Times New Roman" w:hAnsiTheme="majorHAnsi" w:cstheme="majorHAnsi"/>
                <w:lang w:val="fr-FR"/>
              </w:rPr>
              <w:t>promouvoir</w:t>
            </w:r>
            <w:r w:rsidRPr="007E1222">
              <w:rPr>
                <w:rFonts w:asciiTheme="majorHAnsi" w:eastAsia="Times New Roman" w:hAnsiTheme="majorHAnsi" w:cstheme="majorHAnsi"/>
                <w:lang w:val="fr-FR"/>
              </w:rPr>
              <w:t xml:space="preserve"> une position régionale </w:t>
            </w:r>
            <w:r w:rsidRPr="007E1222">
              <w:rPr>
                <w:rFonts w:asciiTheme="majorHAnsi" w:eastAsia="Times New Roman" w:hAnsiTheme="majorHAnsi" w:cstheme="majorHAnsi"/>
                <w:lang w:val="fr-FR"/>
              </w:rPr>
              <w:t>en matière de</w:t>
            </w:r>
            <w:r w:rsidRPr="007E1222">
              <w:rPr>
                <w:rFonts w:asciiTheme="majorHAnsi" w:eastAsia="Times New Roman" w:hAnsiTheme="majorHAnsi" w:cstheme="majorHAnsi"/>
                <w:lang w:val="fr-FR"/>
              </w:rPr>
              <w:t xml:space="preserve"> gestion des déchets </w:t>
            </w:r>
            <w:r w:rsidRPr="007E1222">
              <w:rPr>
                <w:rFonts w:asciiTheme="majorHAnsi" w:eastAsia="Times New Roman" w:hAnsiTheme="majorHAnsi" w:cstheme="majorHAnsi"/>
                <w:lang w:val="fr-FR"/>
              </w:rPr>
              <w:t>au cours</w:t>
            </w:r>
            <w:r w:rsidRPr="007E1222">
              <w:rPr>
                <w:rFonts w:asciiTheme="majorHAnsi" w:eastAsia="Times New Roman" w:hAnsiTheme="majorHAnsi" w:cstheme="majorHAnsi"/>
                <w:lang w:val="fr-FR"/>
              </w:rPr>
              <w:t xml:space="preserve"> d'autres forums régionaux et internationaux </w:t>
            </w:r>
            <w:r w:rsidRPr="007E1222">
              <w:rPr>
                <w:rFonts w:asciiTheme="majorHAnsi" w:eastAsia="Times New Roman" w:hAnsiTheme="majorHAnsi" w:cstheme="majorHAnsi"/>
                <w:lang w:val="fr-FR"/>
              </w:rPr>
              <w:t>en lien avec</w:t>
            </w:r>
            <w:r w:rsidRPr="007E1222">
              <w:rPr>
                <w:rFonts w:asciiTheme="majorHAnsi" w:eastAsia="Times New Roman" w:hAnsiTheme="majorHAnsi" w:cstheme="majorHAnsi"/>
                <w:lang w:val="fr-FR"/>
              </w:rPr>
              <w:t xml:space="preserve"> la gestion des déchets et </w:t>
            </w:r>
            <w:r w:rsidRPr="007E1222">
              <w:rPr>
                <w:rFonts w:asciiTheme="majorHAnsi" w:eastAsia="Times New Roman" w:hAnsiTheme="majorHAnsi" w:cstheme="majorHAnsi"/>
                <w:lang w:val="fr-FR"/>
              </w:rPr>
              <w:t xml:space="preserve">leur </w:t>
            </w:r>
            <w:r w:rsidRPr="007E1222">
              <w:rPr>
                <w:rFonts w:asciiTheme="majorHAnsi" w:eastAsia="Times New Roman" w:hAnsiTheme="majorHAnsi" w:cstheme="majorHAnsi"/>
                <w:lang w:val="fr-FR"/>
              </w:rPr>
              <w:t>impact sur l'environnement.</w:t>
            </w:r>
          </w:p>
        </w:tc>
      </w:tr>
      <w:tr w:rsidR="007D5688" w:rsidRPr="008A1157" w14:paraId="2DB8ED68" w14:textId="77777777" w:rsidTr="00C15D90">
        <w:trPr>
          <w:trHeight w:val="1411"/>
        </w:trPr>
        <w:tc>
          <w:tcPr>
            <w:tcW w:w="1512" w:type="dxa"/>
          </w:tcPr>
          <w:p w14:paraId="72DC88C2" w14:textId="6DD13D7D" w:rsidR="003737ED" w:rsidRPr="00943949" w:rsidRDefault="0072733D" w:rsidP="000E1C2C">
            <w:pPr>
              <w:rPr>
                <w:rStyle w:val="Heading1Char"/>
                <w:rFonts w:cstheme="majorHAnsi"/>
                <w:sz w:val="22"/>
                <w:szCs w:val="22"/>
                <w:lang w:val="fr-FR"/>
              </w:rPr>
            </w:pPr>
            <w:r w:rsidRPr="00943949">
              <w:rPr>
                <w:rStyle w:val="Heading1Char"/>
                <w:rFonts w:cstheme="majorHAnsi"/>
                <w:sz w:val="22"/>
                <w:szCs w:val="22"/>
                <w:lang w:val="fr-FR"/>
              </w:rPr>
              <w:t>Objecti</w:t>
            </w:r>
            <w:r w:rsidR="007E1222" w:rsidRPr="00943949">
              <w:rPr>
                <w:rStyle w:val="Heading1Char"/>
                <w:rFonts w:cstheme="majorHAnsi"/>
                <w:sz w:val="22"/>
                <w:szCs w:val="22"/>
                <w:lang w:val="fr-FR"/>
              </w:rPr>
              <w:t>f</w:t>
            </w:r>
            <w:r w:rsidRPr="00943949">
              <w:rPr>
                <w:rStyle w:val="Heading1Char"/>
                <w:rFonts w:cstheme="majorHAnsi"/>
                <w:sz w:val="22"/>
                <w:szCs w:val="22"/>
                <w:lang w:val="fr-FR"/>
              </w:rPr>
              <w:t>s</w:t>
            </w:r>
          </w:p>
        </w:tc>
        <w:tc>
          <w:tcPr>
            <w:tcW w:w="7504" w:type="dxa"/>
          </w:tcPr>
          <w:p w14:paraId="33BBF6D5" w14:textId="67319AFF" w:rsidR="00F95AC7" w:rsidRPr="00943949" w:rsidRDefault="00F95AC7" w:rsidP="005866C3">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Regrouper les</w:t>
            </w:r>
            <w:r w:rsidRPr="00943949">
              <w:rPr>
                <w:rFonts w:asciiTheme="majorHAnsi" w:hAnsiTheme="majorHAnsi" w:cstheme="majorHAnsi"/>
                <w:lang w:val="fr-FR"/>
              </w:rPr>
              <w:t xml:space="preserve"> contributions des parties prenantes pour s'assurer que le plan de mise en œuvre de la </w:t>
            </w:r>
            <w:r w:rsidRPr="00943949">
              <w:rPr>
                <w:rFonts w:asciiTheme="majorHAnsi" w:hAnsiTheme="majorHAnsi" w:cstheme="majorHAnsi"/>
                <w:lang w:val="fr-FR"/>
              </w:rPr>
              <w:t xml:space="preserve">stratégie </w:t>
            </w:r>
            <w:r w:rsidRPr="00943949">
              <w:rPr>
                <w:rFonts w:asciiTheme="majorHAnsi" w:eastAsia="Times New Roman" w:hAnsiTheme="majorHAnsi" w:cstheme="majorHAnsi"/>
                <w:lang w:val="fr-FR"/>
              </w:rPr>
              <w:t>« pour une Pacifique plus propre 2025 »</w:t>
            </w:r>
            <w:r w:rsidRPr="00943949">
              <w:rPr>
                <w:rFonts w:asciiTheme="majorHAnsi" w:hAnsiTheme="majorHAnsi" w:cstheme="majorHAnsi"/>
                <w:lang w:val="fr-FR"/>
              </w:rPr>
              <w:t xml:space="preserve"> peut être mis en œuvre et proposer une résolution/déclaration d</w:t>
            </w:r>
            <w:r w:rsidR="008A1157" w:rsidRPr="00943949">
              <w:rPr>
                <w:rFonts w:asciiTheme="majorHAnsi" w:hAnsiTheme="majorHAnsi" w:cstheme="majorHAnsi"/>
                <w:lang w:val="fr-FR"/>
              </w:rPr>
              <w:t xml:space="preserve">es </w:t>
            </w:r>
            <w:r w:rsidRPr="00943949">
              <w:rPr>
                <w:rFonts w:asciiTheme="majorHAnsi" w:hAnsiTheme="majorHAnsi" w:cstheme="majorHAnsi"/>
                <w:lang w:val="fr-FR"/>
              </w:rPr>
              <w:t xml:space="preserve">activités futures prioritaires </w:t>
            </w:r>
            <w:r w:rsidR="008A1157" w:rsidRPr="00943949">
              <w:rPr>
                <w:rFonts w:asciiTheme="majorHAnsi" w:hAnsiTheme="majorHAnsi" w:cstheme="majorHAnsi"/>
                <w:lang w:val="fr-FR"/>
              </w:rPr>
              <w:t xml:space="preserve">à mettre en œuvre </w:t>
            </w:r>
            <w:r w:rsidRPr="00943949">
              <w:rPr>
                <w:rFonts w:asciiTheme="majorHAnsi" w:hAnsiTheme="majorHAnsi" w:cstheme="majorHAnsi"/>
                <w:lang w:val="fr-FR"/>
              </w:rPr>
              <w:t>à court terme</w:t>
            </w:r>
          </w:p>
          <w:p w14:paraId="4CF92192" w14:textId="48327815" w:rsidR="00F95AC7" w:rsidRPr="00943949" w:rsidRDefault="00F95AC7" w:rsidP="00F95AC7">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 xml:space="preserve">Promouvoir une meilleure compréhension des </w:t>
            </w:r>
            <w:r w:rsidR="008A1157" w:rsidRPr="00943949">
              <w:rPr>
                <w:rFonts w:asciiTheme="majorHAnsi" w:hAnsiTheme="majorHAnsi" w:cstheme="majorHAnsi"/>
                <w:lang w:val="fr-FR"/>
              </w:rPr>
              <w:t>manques</w:t>
            </w:r>
            <w:r w:rsidRPr="00943949">
              <w:rPr>
                <w:rFonts w:asciiTheme="majorHAnsi" w:hAnsiTheme="majorHAnsi" w:cstheme="majorHAnsi"/>
                <w:lang w:val="fr-FR"/>
              </w:rPr>
              <w:t xml:space="preserve"> et des opportunités dans la région et soutenir la mobilisation des ressources techniques et financières pour combler </w:t>
            </w:r>
            <w:r w:rsidR="008A1157" w:rsidRPr="00943949">
              <w:rPr>
                <w:rFonts w:asciiTheme="majorHAnsi" w:hAnsiTheme="majorHAnsi" w:cstheme="majorHAnsi"/>
                <w:lang w:val="fr-FR"/>
              </w:rPr>
              <w:t>c</w:t>
            </w:r>
            <w:r w:rsidRPr="00943949">
              <w:rPr>
                <w:rFonts w:asciiTheme="majorHAnsi" w:hAnsiTheme="majorHAnsi" w:cstheme="majorHAnsi"/>
                <w:lang w:val="fr-FR"/>
              </w:rPr>
              <w:t xml:space="preserve">es </w:t>
            </w:r>
            <w:r w:rsidR="008A1157" w:rsidRPr="00943949">
              <w:rPr>
                <w:rFonts w:asciiTheme="majorHAnsi" w:hAnsiTheme="majorHAnsi" w:cstheme="majorHAnsi"/>
                <w:lang w:val="fr-FR"/>
              </w:rPr>
              <w:t>manques</w:t>
            </w:r>
            <w:r w:rsidRPr="00943949">
              <w:rPr>
                <w:rFonts w:asciiTheme="majorHAnsi" w:hAnsiTheme="majorHAnsi" w:cstheme="majorHAnsi"/>
                <w:lang w:val="fr-FR"/>
              </w:rPr>
              <w:t xml:space="preserve"> </w:t>
            </w:r>
            <w:r w:rsidR="008A1157" w:rsidRPr="00943949">
              <w:rPr>
                <w:rFonts w:asciiTheme="majorHAnsi" w:hAnsiTheme="majorHAnsi" w:cstheme="majorHAnsi"/>
                <w:lang w:val="fr-FR"/>
              </w:rPr>
              <w:t>en matière de</w:t>
            </w:r>
            <w:r w:rsidRPr="00943949">
              <w:rPr>
                <w:rFonts w:asciiTheme="majorHAnsi" w:hAnsiTheme="majorHAnsi" w:cstheme="majorHAnsi"/>
                <w:lang w:val="fr-FR"/>
              </w:rPr>
              <w:t xml:space="preserve"> gestion des déchets et de la pollution.</w:t>
            </w:r>
          </w:p>
          <w:p w14:paraId="0C89AFDD" w14:textId="466B73C5" w:rsidR="00F95AC7" w:rsidRPr="00943949" w:rsidRDefault="00F95AC7" w:rsidP="00F95AC7">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Promouvoir la création de nouveaux réseaux de gestion des déchets</w:t>
            </w:r>
            <w:r w:rsidR="008A1157" w:rsidRPr="00943949">
              <w:rPr>
                <w:rFonts w:asciiTheme="majorHAnsi" w:hAnsiTheme="majorHAnsi" w:cstheme="majorHAnsi"/>
                <w:lang w:val="fr-FR"/>
              </w:rPr>
              <w:t>.</w:t>
            </w:r>
          </w:p>
          <w:p w14:paraId="192C7240" w14:textId="3D6DF8D8" w:rsidR="00F95AC7" w:rsidRPr="00943949" w:rsidRDefault="008A1157" w:rsidP="00F95AC7">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Discuter</w:t>
            </w:r>
            <w:r w:rsidR="00F95AC7" w:rsidRPr="00943949">
              <w:rPr>
                <w:rFonts w:asciiTheme="majorHAnsi" w:hAnsiTheme="majorHAnsi" w:cstheme="majorHAnsi"/>
                <w:lang w:val="fr-FR"/>
              </w:rPr>
              <w:t xml:space="preserve"> avec les réseaux régionaux existants </w:t>
            </w:r>
            <w:r w:rsidRPr="00943949">
              <w:rPr>
                <w:rFonts w:asciiTheme="majorHAnsi" w:hAnsiTheme="majorHAnsi" w:cstheme="majorHAnsi"/>
                <w:lang w:val="fr-FR"/>
              </w:rPr>
              <w:t>du</w:t>
            </w:r>
            <w:r w:rsidR="00F95AC7" w:rsidRPr="00943949">
              <w:rPr>
                <w:rFonts w:asciiTheme="majorHAnsi" w:hAnsiTheme="majorHAnsi" w:cstheme="majorHAnsi"/>
                <w:lang w:val="fr-FR"/>
              </w:rPr>
              <w:t xml:space="preserve"> secteur des déchets et de la pollution pour soutenir une meilleure coordination des actions.</w:t>
            </w:r>
          </w:p>
          <w:p w14:paraId="5927C73B" w14:textId="7FFF5C65" w:rsidR="00F95AC7" w:rsidRPr="00943949" w:rsidRDefault="00F95AC7" w:rsidP="00F95AC7">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 xml:space="preserve">Confirmer et approuver les indicateurs </w:t>
            </w:r>
            <w:r w:rsidR="008A1157" w:rsidRPr="00943949">
              <w:rPr>
                <w:rFonts w:asciiTheme="majorHAnsi" w:hAnsiTheme="majorHAnsi" w:cstheme="majorHAnsi"/>
                <w:lang w:val="fr-FR"/>
              </w:rPr>
              <w:t xml:space="preserve">régionaux </w:t>
            </w:r>
            <w:r w:rsidRPr="00943949">
              <w:rPr>
                <w:rFonts w:asciiTheme="majorHAnsi" w:hAnsiTheme="majorHAnsi" w:cstheme="majorHAnsi"/>
                <w:lang w:val="fr-FR"/>
              </w:rPr>
              <w:t>clés de performance et les cadres de suivi des données et d'é</w:t>
            </w:r>
            <w:r w:rsidR="008A1157" w:rsidRPr="00943949">
              <w:rPr>
                <w:rFonts w:asciiTheme="majorHAnsi" w:hAnsiTheme="majorHAnsi" w:cstheme="majorHAnsi"/>
                <w:lang w:val="fr-FR"/>
              </w:rPr>
              <w:t>laboration</w:t>
            </w:r>
            <w:r w:rsidRPr="00943949">
              <w:rPr>
                <w:rFonts w:asciiTheme="majorHAnsi" w:hAnsiTheme="majorHAnsi" w:cstheme="majorHAnsi"/>
                <w:lang w:val="fr-FR"/>
              </w:rPr>
              <w:t xml:space="preserve"> de rapports afin de suivre et de rendre compte de l'activité régionale en vue de la réalisation de la stratégie </w:t>
            </w:r>
            <w:r w:rsidR="008A1157" w:rsidRPr="00943949">
              <w:rPr>
                <w:rFonts w:asciiTheme="majorHAnsi" w:eastAsia="Times New Roman" w:hAnsiTheme="majorHAnsi" w:cstheme="majorHAnsi"/>
                <w:lang w:val="fr-FR"/>
              </w:rPr>
              <w:t>« pour une Pacifique plus propre 2025 »</w:t>
            </w:r>
            <w:r w:rsidRPr="00943949">
              <w:rPr>
                <w:rFonts w:asciiTheme="majorHAnsi" w:hAnsiTheme="majorHAnsi" w:cstheme="majorHAnsi"/>
                <w:lang w:val="fr-FR"/>
              </w:rPr>
              <w:t xml:space="preserve"> et de la stratégie </w:t>
            </w:r>
            <w:r w:rsidR="008A1157" w:rsidRPr="00943949">
              <w:rPr>
                <w:rFonts w:asciiTheme="majorHAnsi" w:hAnsiTheme="majorHAnsi" w:cstheme="majorHAnsi"/>
                <w:lang w:val="fr-FR"/>
              </w:rPr>
              <w:t>à l’échelle 2035</w:t>
            </w:r>
            <w:r w:rsidRPr="00943949">
              <w:rPr>
                <w:rFonts w:asciiTheme="majorHAnsi" w:hAnsiTheme="majorHAnsi" w:cstheme="majorHAnsi"/>
                <w:lang w:val="fr-FR"/>
              </w:rPr>
              <w:t xml:space="preserve"> ou plus, qui doit être élaborée prochainement.</w:t>
            </w:r>
          </w:p>
          <w:p w14:paraId="6613154C" w14:textId="46017D5E" w:rsidR="00F95AC7" w:rsidRPr="00943949" w:rsidRDefault="00F95AC7" w:rsidP="00F95AC7">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 xml:space="preserve">Convenir de la date, du lieu et de l'objectif de la prochaine </w:t>
            </w:r>
            <w:r w:rsidR="008A1157" w:rsidRPr="00943949">
              <w:rPr>
                <w:rFonts w:asciiTheme="majorHAnsi" w:hAnsiTheme="majorHAnsi" w:cstheme="majorHAnsi"/>
                <w:lang w:val="fr-FR"/>
              </w:rPr>
              <w:t>table ronde pour un Pacifique propre</w:t>
            </w:r>
            <w:r w:rsidRPr="00943949">
              <w:rPr>
                <w:rFonts w:asciiTheme="majorHAnsi" w:hAnsiTheme="majorHAnsi" w:cstheme="majorHAnsi"/>
                <w:lang w:val="fr-FR"/>
              </w:rPr>
              <w:t xml:space="preserve"> avec les groupes de travail techniques qui la soutiennent.</w:t>
            </w:r>
          </w:p>
          <w:p w14:paraId="11776DB8" w14:textId="4B2BBB18" w:rsidR="002D6F76" w:rsidRPr="00943949" w:rsidRDefault="008A1157" w:rsidP="00943949">
            <w:pPr>
              <w:pStyle w:val="ListParagraph"/>
              <w:numPr>
                <w:ilvl w:val="0"/>
                <w:numId w:val="16"/>
              </w:numPr>
              <w:rPr>
                <w:rFonts w:asciiTheme="majorHAnsi" w:hAnsiTheme="majorHAnsi" w:cstheme="majorHAnsi"/>
                <w:lang w:val="fr-FR" w:eastAsia="ja-JP"/>
              </w:rPr>
            </w:pPr>
            <w:r w:rsidRPr="00943949">
              <w:rPr>
                <w:rFonts w:asciiTheme="majorHAnsi" w:hAnsiTheme="majorHAnsi" w:cstheme="majorHAnsi"/>
                <w:lang w:val="fr-FR"/>
              </w:rPr>
              <w:t>Etablir la r</w:t>
            </w:r>
            <w:r w:rsidR="00F95AC7" w:rsidRPr="00943949">
              <w:rPr>
                <w:rFonts w:asciiTheme="majorHAnsi" w:hAnsiTheme="majorHAnsi" w:cstheme="majorHAnsi"/>
                <w:lang w:val="fr-FR"/>
              </w:rPr>
              <w:t xml:space="preserve">ésolution/déclaration </w:t>
            </w:r>
            <w:r w:rsidRPr="00943949">
              <w:rPr>
                <w:rFonts w:asciiTheme="majorHAnsi" w:hAnsiTheme="majorHAnsi" w:cstheme="majorHAnsi"/>
                <w:lang w:val="fr-FR"/>
              </w:rPr>
              <w:t xml:space="preserve">au regard </w:t>
            </w:r>
            <w:r w:rsidR="00F95AC7" w:rsidRPr="00943949">
              <w:rPr>
                <w:rFonts w:asciiTheme="majorHAnsi" w:hAnsiTheme="majorHAnsi" w:cstheme="majorHAnsi"/>
                <w:lang w:val="fr-FR"/>
              </w:rPr>
              <w:t xml:space="preserve">des futures activités prioritaires </w:t>
            </w:r>
            <w:r w:rsidRPr="00943949">
              <w:rPr>
                <w:rFonts w:asciiTheme="majorHAnsi" w:hAnsiTheme="majorHAnsi" w:cstheme="majorHAnsi"/>
                <w:lang w:val="fr-FR"/>
              </w:rPr>
              <w:t>identifiées sur la base d</w:t>
            </w:r>
            <w:r w:rsidR="00F95AC7" w:rsidRPr="00943949">
              <w:rPr>
                <w:rFonts w:asciiTheme="majorHAnsi" w:hAnsiTheme="majorHAnsi" w:cstheme="majorHAnsi"/>
                <w:lang w:val="fr-FR"/>
              </w:rPr>
              <w:t xml:space="preserve">es informations </w:t>
            </w:r>
            <w:r w:rsidRPr="00943949">
              <w:rPr>
                <w:rFonts w:asciiTheme="majorHAnsi" w:hAnsiTheme="majorHAnsi" w:cstheme="majorHAnsi"/>
                <w:lang w:val="fr-FR"/>
              </w:rPr>
              <w:t xml:space="preserve">tirées </w:t>
            </w:r>
            <w:r w:rsidR="00F95AC7" w:rsidRPr="00943949">
              <w:rPr>
                <w:rFonts w:asciiTheme="majorHAnsi" w:hAnsiTheme="majorHAnsi" w:cstheme="majorHAnsi"/>
                <w:lang w:val="fr-FR"/>
              </w:rPr>
              <w:t>de la table ronde.</w:t>
            </w:r>
          </w:p>
        </w:tc>
      </w:tr>
      <w:tr w:rsidR="0072733D" w:rsidRPr="000B20C7" w14:paraId="569E515D" w14:textId="77777777" w:rsidTr="00F95AC7">
        <w:trPr>
          <w:trHeight w:val="1411"/>
        </w:trPr>
        <w:tc>
          <w:tcPr>
            <w:tcW w:w="1512" w:type="dxa"/>
            <w:shd w:val="clear" w:color="auto" w:fill="auto"/>
          </w:tcPr>
          <w:p w14:paraId="322470E6" w14:textId="50B7E063" w:rsidR="0072733D" w:rsidRPr="00943949" w:rsidRDefault="00F95AC7" w:rsidP="000E1C2C">
            <w:pPr>
              <w:rPr>
                <w:rStyle w:val="Heading1Char"/>
                <w:rFonts w:cstheme="majorHAnsi"/>
                <w:sz w:val="22"/>
                <w:szCs w:val="22"/>
                <w:lang w:val="fr-FR"/>
              </w:rPr>
            </w:pPr>
            <w:r w:rsidRPr="00943949">
              <w:rPr>
                <w:rStyle w:val="Heading1Char"/>
                <w:rFonts w:cstheme="majorHAnsi"/>
                <w:sz w:val="22"/>
                <w:szCs w:val="22"/>
                <w:lang w:val="fr-FR"/>
              </w:rPr>
              <w:t>Résultats escomptés</w:t>
            </w:r>
          </w:p>
        </w:tc>
        <w:tc>
          <w:tcPr>
            <w:tcW w:w="7504" w:type="dxa"/>
          </w:tcPr>
          <w:p w14:paraId="4AD279ED" w14:textId="12D3369D" w:rsidR="00E171B8" w:rsidRPr="00943949" w:rsidRDefault="00E171B8" w:rsidP="00E171B8">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 xml:space="preserve">Regrouper les contributions des parties prenantes pour s'assurer que le plan de mise en œuvre de la stratégie </w:t>
            </w:r>
            <w:r w:rsidRPr="00943949">
              <w:rPr>
                <w:rFonts w:asciiTheme="majorHAnsi" w:eastAsia="Times New Roman" w:hAnsiTheme="majorHAnsi" w:cstheme="majorHAnsi"/>
                <w:lang w:val="fr-FR"/>
              </w:rPr>
              <w:t>« pour une Pacifique plus propre 2025 »</w:t>
            </w:r>
            <w:r w:rsidRPr="00943949">
              <w:rPr>
                <w:rFonts w:asciiTheme="majorHAnsi" w:hAnsiTheme="majorHAnsi" w:cstheme="majorHAnsi"/>
                <w:lang w:val="fr-FR"/>
              </w:rPr>
              <w:t xml:space="preserve"> peut être mis en œuvre et proposer une résolution/déclaration des activités futures prioritaires à mettre en œuvre à court terme</w:t>
            </w:r>
            <w:r w:rsidRPr="00943949">
              <w:rPr>
                <w:rFonts w:asciiTheme="majorHAnsi" w:hAnsiTheme="majorHAnsi" w:cstheme="majorHAnsi"/>
                <w:lang w:val="fr-FR"/>
              </w:rPr>
              <w:t>.</w:t>
            </w:r>
          </w:p>
          <w:p w14:paraId="521A2EEF" w14:textId="403F653A" w:rsidR="00E171B8" w:rsidRPr="00943949" w:rsidRDefault="00E171B8" w:rsidP="00E171B8">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Promouvoir une meilleure compréhension des manques et des opportunités dans la région et soutenir la mobilisation des ressources techniques et financières pour combler ces manques en matière de gestion des déchets et de la pollution.</w:t>
            </w:r>
          </w:p>
          <w:p w14:paraId="209BDEE5" w14:textId="77777777" w:rsidR="00E171B8" w:rsidRPr="00943949" w:rsidRDefault="00E171B8" w:rsidP="00E171B8">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Promouvoir la création de nouveaux réseaux de gestion des déchets.</w:t>
            </w:r>
          </w:p>
          <w:p w14:paraId="1E363CBB" w14:textId="16C2BD1A" w:rsidR="00DA24B3" w:rsidRPr="00943949" w:rsidRDefault="00E171B8" w:rsidP="00E171B8">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Discuter avec les réseaux régionaux existants du secteur des déchets et de la pollution pour soutenir une meilleure coordination des actions.</w:t>
            </w:r>
          </w:p>
          <w:p w14:paraId="21C4A269" w14:textId="195B6614" w:rsidR="00DA24B3" w:rsidRPr="00943949" w:rsidRDefault="00E171B8" w:rsidP="00DA24B3">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Convenir de la date, du lieu et de l'objectif de la prochaine table ronde pour un Pacifique propre</w:t>
            </w:r>
            <w:r w:rsidR="00DA24B3" w:rsidRPr="00943949">
              <w:rPr>
                <w:rFonts w:asciiTheme="majorHAnsi" w:hAnsiTheme="majorHAnsi" w:cstheme="majorHAnsi"/>
                <w:lang w:val="fr-FR"/>
              </w:rPr>
              <w:t>.</w:t>
            </w:r>
          </w:p>
          <w:p w14:paraId="7230343B" w14:textId="55DF0995" w:rsidR="00E171B8" w:rsidRPr="00943949" w:rsidRDefault="00E171B8" w:rsidP="00E171B8">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 xml:space="preserve">Convenir de la vision, des objectifs et des cibles pour </w:t>
            </w:r>
            <w:r w:rsidRPr="00943949">
              <w:rPr>
                <w:rFonts w:asciiTheme="majorHAnsi" w:hAnsiTheme="majorHAnsi" w:cstheme="majorHAnsi"/>
                <w:lang w:val="fr-FR"/>
              </w:rPr>
              <w:t xml:space="preserve">la stratégie </w:t>
            </w:r>
            <w:r w:rsidRPr="00943949">
              <w:rPr>
                <w:rFonts w:asciiTheme="majorHAnsi" w:eastAsia="Times New Roman" w:hAnsiTheme="majorHAnsi" w:cstheme="majorHAnsi"/>
                <w:lang w:val="fr-FR"/>
              </w:rPr>
              <w:t>« pour une Pacifique plus propr</w:t>
            </w:r>
            <w:r w:rsidRPr="00943949">
              <w:rPr>
                <w:rFonts w:asciiTheme="majorHAnsi" w:eastAsia="Times New Roman" w:hAnsiTheme="majorHAnsi" w:cstheme="majorHAnsi"/>
                <w:lang w:val="fr-FR"/>
              </w:rPr>
              <w:t>e</w:t>
            </w:r>
            <w:r w:rsidRPr="00943949">
              <w:rPr>
                <w:rFonts w:asciiTheme="majorHAnsi" w:eastAsia="Times New Roman" w:hAnsiTheme="majorHAnsi" w:cstheme="majorHAnsi"/>
                <w:lang w:val="fr-FR"/>
              </w:rPr>
              <w:t> »</w:t>
            </w:r>
            <w:r w:rsidRPr="00943949">
              <w:rPr>
                <w:rFonts w:asciiTheme="majorHAnsi" w:hAnsiTheme="majorHAnsi" w:cstheme="majorHAnsi"/>
                <w:lang w:val="fr-FR"/>
              </w:rPr>
              <w:t xml:space="preserve"> </w:t>
            </w:r>
            <w:r w:rsidRPr="00943949">
              <w:rPr>
                <w:rFonts w:asciiTheme="majorHAnsi" w:hAnsiTheme="majorHAnsi" w:cstheme="majorHAnsi"/>
                <w:lang w:val="fr-FR"/>
              </w:rPr>
              <w:t>à l’échelle 20235 ou au-delà</w:t>
            </w:r>
            <w:r w:rsidR="000B20C7" w:rsidRPr="00943949">
              <w:rPr>
                <w:rFonts w:asciiTheme="majorHAnsi" w:hAnsiTheme="majorHAnsi" w:cstheme="majorHAnsi"/>
                <w:lang w:val="fr-FR"/>
              </w:rPr>
              <w:t>, dont l’élaboration sera menée</w:t>
            </w:r>
            <w:r w:rsidRPr="00943949">
              <w:rPr>
                <w:rFonts w:asciiTheme="majorHAnsi" w:hAnsiTheme="majorHAnsi" w:cstheme="majorHAnsi"/>
                <w:lang w:val="fr-FR"/>
              </w:rPr>
              <w:t xml:space="preserve"> en 2024.</w:t>
            </w:r>
          </w:p>
          <w:p w14:paraId="3B0C0165" w14:textId="2C5B71DB" w:rsidR="00DA24B3" w:rsidRPr="00943949" w:rsidRDefault="00E171B8" w:rsidP="00943949">
            <w:pPr>
              <w:pStyle w:val="ListParagraph"/>
              <w:numPr>
                <w:ilvl w:val="0"/>
                <w:numId w:val="16"/>
              </w:numPr>
              <w:rPr>
                <w:rFonts w:asciiTheme="majorHAnsi" w:hAnsiTheme="majorHAnsi" w:cstheme="majorHAnsi"/>
                <w:lang w:val="fr-FR"/>
              </w:rPr>
            </w:pPr>
            <w:r w:rsidRPr="00943949">
              <w:rPr>
                <w:rFonts w:asciiTheme="majorHAnsi" w:hAnsiTheme="majorHAnsi" w:cstheme="majorHAnsi"/>
                <w:lang w:val="fr-FR"/>
              </w:rPr>
              <w:t xml:space="preserve">Confirmer l'engagement des </w:t>
            </w:r>
            <w:r w:rsidR="000B20C7" w:rsidRPr="00943949">
              <w:rPr>
                <w:rFonts w:asciiTheme="majorHAnsi" w:hAnsiTheme="majorHAnsi" w:cstheme="majorHAnsi"/>
                <w:lang w:val="fr-FR"/>
              </w:rPr>
              <w:t>bailleurs de fonds</w:t>
            </w:r>
            <w:r w:rsidRPr="00943949">
              <w:rPr>
                <w:rFonts w:asciiTheme="majorHAnsi" w:hAnsiTheme="majorHAnsi" w:cstheme="majorHAnsi"/>
                <w:lang w:val="fr-FR"/>
              </w:rPr>
              <w:t xml:space="preserve"> et des partenaires à financer l'élaboration de la stratégie </w:t>
            </w:r>
            <w:r w:rsidR="000B20C7" w:rsidRPr="00943949">
              <w:rPr>
                <w:rFonts w:asciiTheme="majorHAnsi" w:hAnsiTheme="majorHAnsi" w:cstheme="majorHAnsi"/>
                <w:lang w:val="fr-FR"/>
              </w:rPr>
              <w:t>2</w:t>
            </w:r>
            <w:r w:rsidRPr="00943949">
              <w:rPr>
                <w:rFonts w:asciiTheme="majorHAnsi" w:hAnsiTheme="majorHAnsi" w:cstheme="majorHAnsi"/>
                <w:lang w:val="fr-FR"/>
              </w:rPr>
              <w:t xml:space="preserve">035 et confirmer les activités souhaitées à inclure dans la stratégie pour </w:t>
            </w:r>
            <w:r w:rsidR="00CF7E39" w:rsidRPr="00943949">
              <w:rPr>
                <w:rFonts w:asciiTheme="majorHAnsi" w:hAnsiTheme="majorHAnsi" w:cstheme="majorHAnsi"/>
                <w:lang w:val="fr-FR"/>
              </w:rPr>
              <w:t>assurer</w:t>
            </w:r>
            <w:r w:rsidRPr="00943949">
              <w:rPr>
                <w:rFonts w:asciiTheme="majorHAnsi" w:hAnsiTheme="majorHAnsi" w:cstheme="majorHAnsi"/>
                <w:lang w:val="fr-FR"/>
              </w:rPr>
              <w:t xml:space="preserve"> leur soutien financier continu.</w:t>
            </w:r>
            <w:r w:rsidRPr="00943949">
              <w:rPr>
                <w:rFonts w:asciiTheme="majorHAnsi" w:hAnsiTheme="majorHAnsi" w:cstheme="majorHAnsi"/>
                <w:lang w:val="fr-FR"/>
              </w:rPr>
              <w:t xml:space="preserve"> </w:t>
            </w:r>
          </w:p>
        </w:tc>
      </w:tr>
      <w:tr w:rsidR="006614F7" w:rsidRPr="00CF7E39" w14:paraId="3B722C70" w14:textId="77777777" w:rsidTr="00C15D90">
        <w:trPr>
          <w:trHeight w:val="1093"/>
        </w:trPr>
        <w:tc>
          <w:tcPr>
            <w:tcW w:w="1512" w:type="dxa"/>
          </w:tcPr>
          <w:p w14:paraId="287119C8" w14:textId="163ACEA3" w:rsidR="000E1C2C" w:rsidRPr="00726F77" w:rsidRDefault="00CF7E39" w:rsidP="000E1C2C">
            <w:pPr>
              <w:rPr>
                <w:rStyle w:val="Heading1Char"/>
                <w:rFonts w:cstheme="majorHAnsi"/>
                <w:sz w:val="22"/>
                <w:szCs w:val="22"/>
                <w:highlight w:val="yellow"/>
              </w:rPr>
            </w:pPr>
            <w:r w:rsidRPr="00CF7E39">
              <w:rPr>
                <w:rStyle w:val="Heading1Char"/>
                <w:rFonts w:cstheme="majorHAnsi"/>
                <w:sz w:val="22"/>
                <w:szCs w:val="22"/>
              </w:rPr>
              <w:t xml:space="preserve">Audience </w:t>
            </w:r>
            <w:proofErr w:type="spellStart"/>
            <w:r w:rsidRPr="00CF7E39">
              <w:rPr>
                <w:rStyle w:val="Heading1Char"/>
                <w:rFonts w:cstheme="majorHAnsi"/>
                <w:sz w:val="22"/>
                <w:szCs w:val="22"/>
              </w:rPr>
              <w:t>ciblée</w:t>
            </w:r>
            <w:proofErr w:type="spellEnd"/>
          </w:p>
        </w:tc>
        <w:tc>
          <w:tcPr>
            <w:tcW w:w="7504" w:type="dxa"/>
          </w:tcPr>
          <w:p w14:paraId="43C8DFAC" w14:textId="3DDC71A0" w:rsidR="00CF7E39" w:rsidRPr="00CF7E39" w:rsidRDefault="00CF7E39" w:rsidP="000E1C2C">
            <w:pPr>
              <w:spacing w:after="240"/>
              <w:rPr>
                <w:rFonts w:asciiTheme="majorHAnsi" w:hAnsiTheme="majorHAnsi" w:cstheme="majorHAnsi"/>
                <w:highlight w:val="yellow"/>
                <w:lang w:val="fr-FR"/>
              </w:rPr>
            </w:pPr>
            <w:r w:rsidRPr="00CF7E39">
              <w:rPr>
                <w:rFonts w:asciiTheme="majorHAnsi" w:hAnsiTheme="majorHAnsi" w:cstheme="majorHAnsi"/>
                <w:lang w:val="fr-FR"/>
              </w:rPr>
              <w:t xml:space="preserve">150 à 200 participants pour chaque session, issus d'un large éventail de parties prenantes, y compris le secteur gouvernemental, les </w:t>
            </w:r>
            <w:r>
              <w:rPr>
                <w:rFonts w:asciiTheme="majorHAnsi" w:hAnsiTheme="majorHAnsi" w:cstheme="majorHAnsi"/>
                <w:lang w:val="fr-FR"/>
              </w:rPr>
              <w:t>acteurs</w:t>
            </w:r>
            <w:r w:rsidRPr="00CF7E39">
              <w:rPr>
                <w:rFonts w:asciiTheme="majorHAnsi" w:hAnsiTheme="majorHAnsi" w:cstheme="majorHAnsi"/>
                <w:lang w:val="fr-FR"/>
              </w:rPr>
              <w:t xml:space="preserve"> de</w:t>
            </w:r>
            <w:r>
              <w:rPr>
                <w:rFonts w:asciiTheme="majorHAnsi" w:hAnsiTheme="majorHAnsi" w:cstheme="majorHAnsi"/>
                <w:lang w:val="fr-FR"/>
              </w:rPr>
              <w:t xml:space="preserve"> gestion de</w:t>
            </w:r>
            <w:r w:rsidRPr="00CF7E39">
              <w:rPr>
                <w:rFonts w:asciiTheme="majorHAnsi" w:hAnsiTheme="majorHAnsi" w:cstheme="majorHAnsi"/>
                <w:lang w:val="fr-FR"/>
              </w:rPr>
              <w:t>s déchets et de</w:t>
            </w:r>
            <w:r>
              <w:rPr>
                <w:rFonts w:asciiTheme="majorHAnsi" w:hAnsiTheme="majorHAnsi" w:cstheme="majorHAnsi"/>
                <w:lang w:val="fr-FR"/>
              </w:rPr>
              <w:t xml:space="preserve"> protection de</w:t>
            </w:r>
            <w:r w:rsidRPr="00CF7E39">
              <w:rPr>
                <w:rFonts w:asciiTheme="majorHAnsi" w:hAnsiTheme="majorHAnsi" w:cstheme="majorHAnsi"/>
                <w:lang w:val="fr-FR"/>
              </w:rPr>
              <w:t xml:space="preserve"> l'environnement, les partenaires du développement, le secteur privé, l</w:t>
            </w:r>
            <w:r>
              <w:rPr>
                <w:rFonts w:asciiTheme="majorHAnsi" w:hAnsiTheme="majorHAnsi" w:cstheme="majorHAnsi"/>
                <w:lang w:val="fr-FR"/>
              </w:rPr>
              <w:t xml:space="preserve">es divers </w:t>
            </w:r>
            <w:r w:rsidRPr="00CF7E39">
              <w:rPr>
                <w:rFonts w:asciiTheme="majorHAnsi" w:hAnsiTheme="majorHAnsi" w:cstheme="majorHAnsi"/>
                <w:lang w:val="fr-FR"/>
              </w:rPr>
              <w:t>communauté</w:t>
            </w:r>
            <w:r>
              <w:rPr>
                <w:rFonts w:asciiTheme="majorHAnsi" w:hAnsiTheme="majorHAnsi" w:cstheme="majorHAnsi"/>
                <w:lang w:val="fr-FR"/>
              </w:rPr>
              <w:t>s</w:t>
            </w:r>
            <w:r w:rsidRPr="00CF7E39">
              <w:rPr>
                <w:rFonts w:asciiTheme="majorHAnsi" w:hAnsiTheme="majorHAnsi" w:cstheme="majorHAnsi"/>
                <w:lang w:val="fr-FR"/>
              </w:rPr>
              <w:t xml:space="preserve"> (y compris les jeunes et les autres groupes vulnérables), les ONG, les institutions académiques et de recherche, et les personnes intéressées à l'intérieur et à l'extérieur de la région du Pacifique.</w:t>
            </w:r>
          </w:p>
          <w:p w14:paraId="15F6E314" w14:textId="3B6CA48A" w:rsidR="00DA24B3" w:rsidRPr="00CF7E39" w:rsidRDefault="00CF7E39" w:rsidP="000E1C2C">
            <w:pPr>
              <w:spacing w:after="240"/>
              <w:rPr>
                <w:rFonts w:asciiTheme="majorHAnsi" w:eastAsia="Times New Roman" w:hAnsiTheme="majorHAnsi" w:cstheme="majorHAnsi"/>
                <w:highlight w:val="yellow"/>
                <w:lang w:val="fr-FR"/>
              </w:rPr>
            </w:pPr>
            <w:r w:rsidRPr="00CF7E39">
              <w:rPr>
                <w:rFonts w:asciiTheme="majorHAnsi" w:eastAsia="Times New Roman" w:hAnsiTheme="majorHAnsi" w:cstheme="majorHAnsi"/>
                <w:lang w:val="fr-FR"/>
              </w:rPr>
              <w:t>70-75 représentants d</w:t>
            </w:r>
            <w:r>
              <w:rPr>
                <w:rFonts w:asciiTheme="majorHAnsi" w:eastAsia="Times New Roman" w:hAnsiTheme="majorHAnsi" w:cstheme="majorHAnsi"/>
                <w:lang w:val="fr-FR"/>
              </w:rPr>
              <w:t>e</w:t>
            </w:r>
            <w:r w:rsidRPr="00CF7E39">
              <w:rPr>
                <w:rFonts w:asciiTheme="majorHAnsi" w:eastAsia="Times New Roman" w:hAnsiTheme="majorHAnsi" w:cstheme="majorHAnsi"/>
                <w:lang w:val="fr-FR"/>
              </w:rPr>
              <w:t xml:space="preserve"> gouvernement</w:t>
            </w:r>
            <w:r>
              <w:rPr>
                <w:rFonts w:asciiTheme="majorHAnsi" w:eastAsia="Times New Roman" w:hAnsiTheme="majorHAnsi" w:cstheme="majorHAnsi"/>
                <w:lang w:val="fr-FR"/>
              </w:rPr>
              <w:t>s</w:t>
            </w:r>
            <w:r w:rsidRPr="00CF7E39">
              <w:rPr>
                <w:rFonts w:asciiTheme="majorHAnsi" w:eastAsia="Times New Roman" w:hAnsiTheme="majorHAnsi" w:cstheme="majorHAnsi"/>
                <w:lang w:val="fr-FR"/>
              </w:rPr>
              <w:t xml:space="preserve"> financés par </w:t>
            </w:r>
            <w:r>
              <w:rPr>
                <w:rFonts w:asciiTheme="majorHAnsi" w:eastAsia="Times New Roman" w:hAnsiTheme="majorHAnsi" w:cstheme="majorHAnsi"/>
                <w:lang w:val="fr-FR"/>
              </w:rPr>
              <w:t>l</w:t>
            </w:r>
            <w:r w:rsidRPr="00CF7E39">
              <w:rPr>
                <w:rFonts w:asciiTheme="majorHAnsi" w:eastAsia="Times New Roman" w:hAnsiTheme="majorHAnsi" w:cstheme="majorHAnsi"/>
                <w:lang w:val="fr-FR"/>
              </w:rPr>
              <w:t xml:space="preserve">es projets mis en œuvre par le </w:t>
            </w:r>
            <w:r>
              <w:rPr>
                <w:rFonts w:asciiTheme="majorHAnsi" w:eastAsia="Times New Roman" w:hAnsiTheme="majorHAnsi" w:cstheme="majorHAnsi"/>
                <w:lang w:val="fr-FR"/>
              </w:rPr>
              <w:t>PROE</w:t>
            </w:r>
            <w:r w:rsidRPr="00CF7E39">
              <w:rPr>
                <w:rFonts w:asciiTheme="majorHAnsi" w:eastAsia="Times New Roman" w:hAnsiTheme="majorHAnsi" w:cstheme="majorHAnsi"/>
                <w:lang w:val="fr-FR"/>
              </w:rPr>
              <w:t xml:space="preserve">, des participants provenant du secteur privé, des institutions, de la société civile, des groupes communautaires, des </w:t>
            </w:r>
            <w:r>
              <w:rPr>
                <w:rFonts w:asciiTheme="majorHAnsi" w:eastAsia="Times New Roman" w:hAnsiTheme="majorHAnsi" w:cstheme="majorHAnsi"/>
                <w:lang w:val="fr-FR"/>
              </w:rPr>
              <w:t>bailleurs de fonds</w:t>
            </w:r>
            <w:r w:rsidRPr="00CF7E39">
              <w:rPr>
                <w:rFonts w:asciiTheme="majorHAnsi" w:eastAsia="Times New Roman" w:hAnsiTheme="majorHAnsi" w:cstheme="majorHAnsi"/>
                <w:lang w:val="fr-FR"/>
              </w:rPr>
              <w:t xml:space="preserve"> et des partenaires de développement.</w:t>
            </w:r>
          </w:p>
        </w:tc>
      </w:tr>
      <w:tr w:rsidR="00C15D90" w:rsidRPr="00CF7E39" w14:paraId="1A2FAA6C" w14:textId="77777777" w:rsidTr="00943949">
        <w:trPr>
          <w:trHeight w:val="1975"/>
        </w:trPr>
        <w:tc>
          <w:tcPr>
            <w:tcW w:w="1512" w:type="dxa"/>
          </w:tcPr>
          <w:p w14:paraId="4A953A38" w14:textId="49295261" w:rsidR="00C15D90" w:rsidRPr="00CF7E39" w:rsidRDefault="00CF7E39" w:rsidP="000E1C2C">
            <w:pPr>
              <w:rPr>
                <w:rStyle w:val="Heading1Char"/>
                <w:rFonts w:cstheme="majorHAnsi"/>
                <w:sz w:val="22"/>
                <w:szCs w:val="22"/>
                <w:lang w:val="fr-FR"/>
              </w:rPr>
            </w:pPr>
            <w:r w:rsidRPr="00CF7E39">
              <w:rPr>
                <w:rStyle w:val="Heading1Char"/>
                <w:rFonts w:cstheme="majorHAnsi"/>
                <w:sz w:val="22"/>
                <w:szCs w:val="22"/>
                <w:lang w:val="fr-FR"/>
              </w:rPr>
              <w:t>Mode de diffusion</w:t>
            </w:r>
          </w:p>
        </w:tc>
        <w:tc>
          <w:tcPr>
            <w:tcW w:w="7504" w:type="dxa"/>
          </w:tcPr>
          <w:p w14:paraId="575C04B9" w14:textId="7A0F4109" w:rsidR="00CF7E39" w:rsidRPr="00CF7E39" w:rsidRDefault="00CF7E39" w:rsidP="000E1C2C">
            <w:pPr>
              <w:spacing w:after="240"/>
              <w:rPr>
                <w:rFonts w:asciiTheme="majorHAnsi" w:hAnsiTheme="majorHAnsi" w:cstheme="majorHAnsi"/>
                <w:lang w:val="fr-FR"/>
              </w:rPr>
            </w:pPr>
            <w:r w:rsidRPr="00CF7E39">
              <w:rPr>
                <w:rFonts w:asciiTheme="majorHAnsi" w:hAnsiTheme="majorHAnsi" w:cstheme="majorHAnsi"/>
                <w:lang w:val="fr-FR"/>
              </w:rPr>
              <w:t xml:space="preserve">Les modes de </w:t>
            </w:r>
            <w:r w:rsidRPr="00CF7E39">
              <w:rPr>
                <w:rFonts w:asciiTheme="majorHAnsi" w:hAnsiTheme="majorHAnsi" w:cstheme="majorHAnsi"/>
                <w:lang w:val="fr-FR"/>
              </w:rPr>
              <w:t>diffusion</w:t>
            </w:r>
            <w:r w:rsidRPr="00CF7E39">
              <w:rPr>
                <w:rFonts w:asciiTheme="majorHAnsi" w:hAnsiTheme="majorHAnsi" w:cstheme="majorHAnsi"/>
                <w:lang w:val="fr-FR"/>
              </w:rPr>
              <w:t xml:space="preserve"> possibles à envisager pour accompagner les sessions sont les suivants :</w:t>
            </w:r>
          </w:p>
          <w:p w14:paraId="2EBCCF00" w14:textId="3F7735FB" w:rsidR="00CF7E39" w:rsidRPr="00CF7E39" w:rsidRDefault="00CF7E39" w:rsidP="00C15D90">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 xml:space="preserve">Discussions </w:t>
            </w:r>
            <w:r w:rsidRPr="00CF7E39">
              <w:rPr>
                <w:rFonts w:asciiTheme="majorHAnsi" w:hAnsiTheme="majorHAnsi" w:cstheme="majorHAnsi"/>
                <w:lang w:val="fr-FR"/>
              </w:rPr>
              <w:t xml:space="preserve">plénières </w:t>
            </w:r>
            <w:r w:rsidRPr="00CF7E39">
              <w:rPr>
                <w:rFonts w:asciiTheme="majorHAnsi" w:hAnsiTheme="majorHAnsi" w:cstheme="majorHAnsi"/>
                <w:lang w:val="fr-FR"/>
              </w:rPr>
              <w:t xml:space="preserve">de la table ronde </w:t>
            </w:r>
            <w:r w:rsidRPr="00CF7E39">
              <w:rPr>
                <w:rFonts w:asciiTheme="majorHAnsi" w:hAnsiTheme="majorHAnsi" w:cstheme="majorHAnsi"/>
                <w:lang w:val="fr-FR"/>
              </w:rPr>
              <w:t xml:space="preserve">avec des discours d'ouverture percutants pour chaque jour afin de </w:t>
            </w:r>
            <w:r w:rsidRPr="00CF7E39">
              <w:rPr>
                <w:rFonts w:asciiTheme="majorHAnsi" w:hAnsiTheme="majorHAnsi" w:cstheme="majorHAnsi"/>
                <w:lang w:val="fr-FR"/>
              </w:rPr>
              <w:t>dresser</w:t>
            </w:r>
            <w:r w:rsidRPr="00CF7E39">
              <w:rPr>
                <w:rFonts w:asciiTheme="majorHAnsi" w:hAnsiTheme="majorHAnsi" w:cstheme="majorHAnsi"/>
                <w:lang w:val="fr-FR"/>
              </w:rPr>
              <w:t xml:space="preserve"> le décor.</w:t>
            </w:r>
          </w:p>
          <w:p w14:paraId="1F0F1CEE" w14:textId="165C1F44" w:rsidR="00CF7E39" w:rsidRPr="00CF7E39" w:rsidRDefault="00CF7E39" w:rsidP="00CF7E39">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Tables rondes nationales pour soulever des questions et déterminer des plans d'action</w:t>
            </w:r>
          </w:p>
          <w:p w14:paraId="21D5A85C" w14:textId="0CC9C67D" w:rsidR="00CF7E39" w:rsidRPr="00CF7E39" w:rsidRDefault="00CF7E39" w:rsidP="00CF7E39">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Présentations d'affiches pour mettre en valeur les initiatives réussies des PICT (dans l'espace EXPO).</w:t>
            </w:r>
          </w:p>
          <w:p w14:paraId="1CA8995B" w14:textId="597D19AC" w:rsidR="00CF7E39" w:rsidRPr="00CF7E39" w:rsidRDefault="00CF7E39" w:rsidP="00CF7E39">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EXPO</w:t>
            </w:r>
          </w:p>
          <w:p w14:paraId="0B0FF9ED" w14:textId="7CA85F20" w:rsidR="00CF7E39" w:rsidRPr="00CF7E39" w:rsidRDefault="00CF7E39" w:rsidP="00CF7E39">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Visites de sites</w:t>
            </w:r>
          </w:p>
          <w:p w14:paraId="7EF39F9B" w14:textId="260F1643" w:rsidR="00CF7E39" w:rsidRPr="00CF7E39" w:rsidRDefault="00CF7E39" w:rsidP="00CF7E39">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Sessions de mise en réseau</w:t>
            </w:r>
          </w:p>
          <w:p w14:paraId="59E75188" w14:textId="445352EA" w:rsidR="00C15D90" w:rsidRPr="00CF7E39" w:rsidRDefault="00CF7E39" w:rsidP="00CF7E39">
            <w:pPr>
              <w:pStyle w:val="ListParagraph"/>
              <w:numPr>
                <w:ilvl w:val="0"/>
                <w:numId w:val="49"/>
              </w:numPr>
              <w:spacing w:after="240"/>
              <w:rPr>
                <w:rFonts w:asciiTheme="majorHAnsi" w:hAnsiTheme="majorHAnsi" w:cstheme="majorHAnsi"/>
                <w:lang w:val="fr-FR"/>
              </w:rPr>
            </w:pPr>
            <w:r w:rsidRPr="00CF7E39">
              <w:rPr>
                <w:rFonts w:asciiTheme="majorHAnsi" w:hAnsiTheme="majorHAnsi" w:cstheme="majorHAnsi"/>
                <w:lang w:val="fr-FR"/>
              </w:rPr>
              <w:t>Activités locales</w:t>
            </w:r>
          </w:p>
        </w:tc>
      </w:tr>
      <w:tr w:rsidR="006614F7" w:rsidRPr="00CF7E39" w14:paraId="77EE214B" w14:textId="77777777" w:rsidTr="00C15D90">
        <w:trPr>
          <w:trHeight w:val="333"/>
        </w:trPr>
        <w:tc>
          <w:tcPr>
            <w:tcW w:w="1512" w:type="dxa"/>
          </w:tcPr>
          <w:p w14:paraId="419AFEBA" w14:textId="393F03E8" w:rsidR="000E1C2C" w:rsidRPr="00943949" w:rsidRDefault="0006739D" w:rsidP="000E1C2C">
            <w:pPr>
              <w:rPr>
                <w:rStyle w:val="Heading1Char"/>
                <w:rFonts w:cstheme="majorHAnsi"/>
                <w:sz w:val="22"/>
                <w:szCs w:val="22"/>
                <w:lang w:val="fr-FR"/>
              </w:rPr>
            </w:pPr>
            <w:r w:rsidRPr="00943949">
              <w:rPr>
                <w:rStyle w:val="Heading1Char"/>
                <w:rFonts w:cstheme="majorHAnsi"/>
                <w:sz w:val="22"/>
                <w:szCs w:val="22"/>
                <w:lang w:val="fr-FR"/>
              </w:rPr>
              <w:t>Sessions</w:t>
            </w:r>
            <w:r w:rsidR="00CF7E39" w:rsidRPr="00943949">
              <w:rPr>
                <w:rStyle w:val="Heading1Char"/>
                <w:rFonts w:cstheme="majorHAnsi"/>
                <w:sz w:val="22"/>
                <w:szCs w:val="22"/>
                <w:lang w:val="fr-FR"/>
              </w:rPr>
              <w:t xml:space="preserve"> de l’évènement</w:t>
            </w:r>
          </w:p>
        </w:tc>
        <w:tc>
          <w:tcPr>
            <w:tcW w:w="7504" w:type="dxa"/>
          </w:tcPr>
          <w:p w14:paraId="37B7287D" w14:textId="2AF2C358" w:rsidR="000E1C2C" w:rsidRPr="00943949" w:rsidRDefault="00CF7E39" w:rsidP="00DA24B3">
            <w:pPr>
              <w:rPr>
                <w:rFonts w:asciiTheme="majorHAnsi" w:hAnsiTheme="majorHAnsi" w:cstheme="majorHAnsi"/>
                <w:lang w:val="fr-FR"/>
              </w:rPr>
            </w:pPr>
            <w:r w:rsidRPr="00943949">
              <w:rPr>
                <w:rFonts w:asciiTheme="majorHAnsi" w:hAnsiTheme="majorHAnsi" w:cstheme="majorHAnsi"/>
                <w:lang w:val="fr-FR"/>
              </w:rPr>
              <w:t>La table ronde</w:t>
            </w:r>
            <w:r w:rsidR="00DA24B3" w:rsidRPr="00943949">
              <w:rPr>
                <w:rFonts w:asciiTheme="majorHAnsi" w:hAnsiTheme="majorHAnsi" w:cstheme="majorHAnsi"/>
                <w:lang w:val="fr-FR"/>
              </w:rPr>
              <w:t xml:space="preserve"> </w:t>
            </w:r>
            <w:r w:rsidRPr="00943949">
              <w:rPr>
                <w:rFonts w:asciiTheme="majorHAnsi" w:hAnsiTheme="majorHAnsi" w:cstheme="majorHAnsi"/>
                <w:lang w:val="fr-FR"/>
              </w:rPr>
              <w:t xml:space="preserve">et les évènements associés sont les suivants </w:t>
            </w:r>
            <w:r w:rsidR="00DA24B3" w:rsidRPr="00943949">
              <w:rPr>
                <w:rFonts w:asciiTheme="majorHAnsi" w:hAnsiTheme="majorHAnsi" w:cstheme="majorHAnsi"/>
                <w:lang w:val="fr-FR"/>
              </w:rPr>
              <w:t>:</w:t>
            </w:r>
          </w:p>
          <w:p w14:paraId="1166B865" w14:textId="77777777" w:rsidR="00260470" w:rsidRPr="00943949" w:rsidRDefault="00260470" w:rsidP="00DA24B3">
            <w:pPr>
              <w:rPr>
                <w:rFonts w:asciiTheme="majorHAnsi" w:hAnsiTheme="majorHAnsi" w:cstheme="majorHAnsi"/>
                <w:lang w:val="fr-FR"/>
              </w:rPr>
            </w:pPr>
          </w:p>
          <w:p w14:paraId="03215B8A" w14:textId="6435A4B3" w:rsidR="003927C6" w:rsidRPr="00943949" w:rsidRDefault="00CF7E39" w:rsidP="003927C6">
            <w:pPr>
              <w:rPr>
                <w:rFonts w:asciiTheme="majorHAnsi" w:hAnsiTheme="majorHAnsi" w:cstheme="majorHAnsi"/>
                <w:b/>
                <w:bCs/>
                <w:lang w:val="fr-FR"/>
              </w:rPr>
            </w:pPr>
            <w:r w:rsidRPr="00943949">
              <w:rPr>
                <w:rFonts w:asciiTheme="majorHAnsi" w:hAnsiTheme="majorHAnsi" w:cstheme="majorHAnsi"/>
                <w:b/>
                <w:bCs/>
                <w:lang w:val="fr-FR"/>
              </w:rPr>
              <w:t>Lundi</w:t>
            </w:r>
            <w:r w:rsidR="00DA24B3" w:rsidRPr="00943949">
              <w:rPr>
                <w:rFonts w:asciiTheme="majorHAnsi" w:hAnsiTheme="majorHAnsi" w:cstheme="majorHAnsi"/>
                <w:b/>
                <w:bCs/>
                <w:lang w:val="fr-FR"/>
              </w:rPr>
              <w:t xml:space="preserve"> </w:t>
            </w:r>
            <w:r w:rsidR="00C006A3" w:rsidRPr="00943949">
              <w:rPr>
                <w:rFonts w:asciiTheme="majorHAnsi" w:hAnsiTheme="majorHAnsi" w:cstheme="majorHAnsi"/>
                <w:b/>
                <w:bCs/>
                <w:lang w:val="fr-FR"/>
              </w:rPr>
              <w:t>5</w:t>
            </w:r>
            <w:r w:rsidR="00DA24B3" w:rsidRPr="00943949">
              <w:rPr>
                <w:rFonts w:asciiTheme="majorHAnsi" w:hAnsiTheme="majorHAnsi" w:cstheme="majorHAnsi"/>
                <w:b/>
                <w:bCs/>
                <w:lang w:val="fr-FR"/>
              </w:rPr>
              <w:t xml:space="preserve"> </w:t>
            </w:r>
            <w:r w:rsidRPr="00943949">
              <w:rPr>
                <w:rFonts w:asciiTheme="majorHAnsi" w:hAnsiTheme="majorHAnsi" w:cstheme="majorHAnsi"/>
                <w:b/>
                <w:bCs/>
                <w:lang w:val="fr-FR"/>
              </w:rPr>
              <w:t>août</w:t>
            </w:r>
            <w:r w:rsidR="00DA24B3" w:rsidRPr="00943949">
              <w:rPr>
                <w:rFonts w:asciiTheme="majorHAnsi" w:hAnsiTheme="majorHAnsi" w:cstheme="majorHAnsi"/>
                <w:b/>
                <w:bCs/>
                <w:lang w:val="fr-FR"/>
              </w:rPr>
              <w:t xml:space="preserve"> 2024</w:t>
            </w:r>
            <w:r w:rsidR="00417F14" w:rsidRPr="00943949">
              <w:rPr>
                <w:rFonts w:asciiTheme="majorHAnsi" w:hAnsiTheme="majorHAnsi" w:cstheme="majorHAnsi"/>
                <w:b/>
                <w:bCs/>
                <w:lang w:val="fr-FR"/>
              </w:rPr>
              <w:t xml:space="preserve"> </w:t>
            </w:r>
            <w:r w:rsidR="00E06828" w:rsidRPr="00943949">
              <w:rPr>
                <w:rFonts w:asciiTheme="majorHAnsi" w:hAnsiTheme="majorHAnsi" w:cstheme="majorHAnsi"/>
                <w:b/>
                <w:bCs/>
                <w:lang w:val="fr-FR"/>
              </w:rPr>
              <w:t xml:space="preserve">– </w:t>
            </w:r>
            <w:r w:rsidRPr="00943949">
              <w:rPr>
                <w:rFonts w:asciiTheme="majorHAnsi" w:hAnsiTheme="majorHAnsi" w:cstheme="majorHAnsi"/>
                <w:b/>
                <w:bCs/>
                <w:lang w:val="fr-FR"/>
              </w:rPr>
              <w:t>Jour</w:t>
            </w:r>
            <w:r w:rsidR="003927C6" w:rsidRPr="00943949">
              <w:rPr>
                <w:rFonts w:asciiTheme="majorHAnsi" w:hAnsiTheme="majorHAnsi" w:cstheme="majorHAnsi"/>
                <w:b/>
                <w:bCs/>
                <w:lang w:val="fr-FR"/>
              </w:rPr>
              <w:t xml:space="preserve"> 1</w:t>
            </w:r>
          </w:p>
          <w:p w14:paraId="2962B2B9" w14:textId="09E421D3" w:rsidR="00915F73" w:rsidRPr="00943949" w:rsidRDefault="00915F73" w:rsidP="00915F73">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O</w:t>
            </w:r>
            <w:r w:rsidR="00CF7E39" w:rsidRPr="00943949">
              <w:rPr>
                <w:rFonts w:asciiTheme="majorHAnsi" w:hAnsiTheme="majorHAnsi" w:cstheme="majorHAnsi"/>
                <w:lang w:val="fr-FR"/>
              </w:rPr>
              <w:t>uverture o</w:t>
            </w:r>
            <w:r w:rsidRPr="00943949">
              <w:rPr>
                <w:rFonts w:asciiTheme="majorHAnsi" w:hAnsiTheme="majorHAnsi" w:cstheme="majorHAnsi"/>
                <w:lang w:val="fr-FR"/>
              </w:rPr>
              <w:t>ffici</w:t>
            </w:r>
            <w:r w:rsidR="00CF7E39" w:rsidRPr="00943949">
              <w:rPr>
                <w:rFonts w:asciiTheme="majorHAnsi" w:hAnsiTheme="majorHAnsi" w:cstheme="majorHAnsi"/>
                <w:lang w:val="fr-FR"/>
              </w:rPr>
              <w:t xml:space="preserve">elle </w:t>
            </w:r>
            <w:r w:rsidRPr="00943949">
              <w:rPr>
                <w:rFonts w:asciiTheme="majorHAnsi" w:hAnsiTheme="majorHAnsi" w:cstheme="majorHAnsi"/>
                <w:lang w:val="fr-FR"/>
              </w:rPr>
              <w:t xml:space="preserve">: </w:t>
            </w:r>
            <w:r w:rsidR="00CF7E39" w:rsidRPr="00943949">
              <w:rPr>
                <w:rFonts w:asciiTheme="majorHAnsi" w:hAnsiTheme="majorHAnsi" w:cstheme="majorHAnsi"/>
                <w:lang w:val="fr-FR"/>
              </w:rPr>
              <w:t>Accueil et introduction de haut niveau</w:t>
            </w:r>
          </w:p>
          <w:p w14:paraId="4A6F3973" w14:textId="66B23942" w:rsidR="00915F73" w:rsidRPr="00943949" w:rsidRDefault="00CF7E39" w:rsidP="00915F73">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Allocution m</w:t>
            </w:r>
            <w:r w:rsidR="00915F73" w:rsidRPr="00943949">
              <w:rPr>
                <w:rFonts w:asciiTheme="majorHAnsi" w:hAnsiTheme="majorHAnsi" w:cstheme="majorHAnsi"/>
                <w:lang w:val="fr-FR"/>
              </w:rPr>
              <w:t>inist</w:t>
            </w:r>
            <w:r w:rsidRPr="00943949">
              <w:rPr>
                <w:rFonts w:asciiTheme="majorHAnsi" w:hAnsiTheme="majorHAnsi" w:cstheme="majorHAnsi"/>
                <w:lang w:val="fr-FR"/>
              </w:rPr>
              <w:t>é</w:t>
            </w:r>
            <w:r w:rsidR="00915F73" w:rsidRPr="00943949">
              <w:rPr>
                <w:rFonts w:asciiTheme="majorHAnsi" w:hAnsiTheme="majorHAnsi" w:cstheme="majorHAnsi"/>
                <w:lang w:val="fr-FR"/>
              </w:rPr>
              <w:t>ri</w:t>
            </w:r>
            <w:r w:rsidRPr="00943949">
              <w:rPr>
                <w:rFonts w:asciiTheme="majorHAnsi" w:hAnsiTheme="majorHAnsi" w:cstheme="majorHAnsi"/>
                <w:lang w:val="fr-FR"/>
              </w:rPr>
              <w:t>e</w:t>
            </w:r>
            <w:r w:rsidR="00915F73" w:rsidRPr="00943949">
              <w:rPr>
                <w:rFonts w:asciiTheme="majorHAnsi" w:hAnsiTheme="majorHAnsi" w:cstheme="majorHAnsi"/>
                <w:lang w:val="fr-FR"/>
              </w:rPr>
              <w:t>l</w:t>
            </w:r>
            <w:r w:rsidRPr="00943949">
              <w:rPr>
                <w:rFonts w:asciiTheme="majorHAnsi" w:hAnsiTheme="majorHAnsi" w:cstheme="majorHAnsi"/>
                <w:lang w:val="fr-FR"/>
              </w:rPr>
              <w:t>le</w:t>
            </w:r>
            <w:r w:rsidR="00915F73" w:rsidRPr="00943949">
              <w:rPr>
                <w:rFonts w:asciiTheme="majorHAnsi" w:hAnsiTheme="majorHAnsi" w:cstheme="majorHAnsi"/>
                <w:lang w:val="fr-FR"/>
              </w:rPr>
              <w:t xml:space="preserve"> </w:t>
            </w:r>
          </w:p>
          <w:p w14:paraId="26968FCB" w14:textId="6BEDA79B" w:rsidR="00AA57DB" w:rsidRPr="00943949" w:rsidRDefault="00CF7E39" w:rsidP="00AA57DB">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 xml:space="preserve">Session plénière </w:t>
            </w:r>
            <w:r w:rsidR="00E06828" w:rsidRPr="00943949">
              <w:rPr>
                <w:rFonts w:asciiTheme="majorHAnsi" w:hAnsiTheme="majorHAnsi" w:cstheme="majorHAnsi"/>
                <w:lang w:val="fr-FR"/>
              </w:rPr>
              <w:t xml:space="preserve">: </w:t>
            </w:r>
            <w:r w:rsidRPr="00943949">
              <w:rPr>
                <w:rFonts w:asciiTheme="majorHAnsi" w:hAnsiTheme="majorHAnsi" w:cstheme="majorHAnsi"/>
                <w:lang w:val="fr-FR"/>
              </w:rPr>
              <w:t>S</w:t>
            </w:r>
            <w:r w:rsidRPr="00943949">
              <w:rPr>
                <w:rFonts w:asciiTheme="majorHAnsi" w:hAnsiTheme="majorHAnsi" w:cstheme="majorHAnsi"/>
                <w:lang w:val="fr-FR"/>
              </w:rPr>
              <w:t>tratégie « pour une Pacifique plus propre </w:t>
            </w:r>
            <w:r w:rsidRPr="00943949">
              <w:rPr>
                <w:rFonts w:asciiTheme="majorHAnsi" w:hAnsiTheme="majorHAnsi" w:cstheme="majorHAnsi"/>
                <w:lang w:val="fr-FR"/>
              </w:rPr>
              <w:t xml:space="preserve">en 2025 </w:t>
            </w:r>
            <w:r w:rsidRPr="00943949">
              <w:rPr>
                <w:rFonts w:asciiTheme="majorHAnsi" w:hAnsiTheme="majorHAnsi" w:cstheme="majorHAnsi"/>
                <w:lang w:val="fr-FR"/>
              </w:rPr>
              <w:t>»</w:t>
            </w:r>
            <w:r w:rsidR="00AA57DB" w:rsidRPr="00943949">
              <w:rPr>
                <w:rFonts w:asciiTheme="majorHAnsi" w:hAnsiTheme="majorHAnsi" w:cstheme="majorHAnsi"/>
                <w:lang w:val="fr-FR"/>
              </w:rPr>
              <w:t xml:space="preserve"> </w:t>
            </w:r>
            <w:r w:rsidRPr="00943949">
              <w:rPr>
                <w:rFonts w:asciiTheme="majorHAnsi" w:hAnsiTheme="majorHAnsi" w:cstheme="majorHAnsi"/>
                <w:lang w:val="fr-FR"/>
              </w:rPr>
              <w:t xml:space="preserve">et </w:t>
            </w:r>
            <w:r w:rsidR="00AA57DB" w:rsidRPr="00943949">
              <w:rPr>
                <w:rFonts w:asciiTheme="majorHAnsi" w:hAnsiTheme="majorHAnsi" w:cstheme="majorHAnsi"/>
                <w:lang w:val="fr-FR"/>
              </w:rPr>
              <w:t xml:space="preserve"> </w:t>
            </w:r>
            <w:r w:rsidRPr="00943949">
              <w:rPr>
                <w:rFonts w:asciiTheme="majorHAnsi" w:hAnsiTheme="majorHAnsi" w:cstheme="majorHAnsi"/>
                <w:lang w:val="fr-FR"/>
              </w:rPr>
              <w:t>réalisations</w:t>
            </w:r>
          </w:p>
          <w:p w14:paraId="4E2278FE" w14:textId="7AF51621" w:rsidR="00DA24B3" w:rsidRPr="00943949" w:rsidRDefault="00CF7E39" w:rsidP="00DA24B3">
            <w:pPr>
              <w:rPr>
                <w:rFonts w:asciiTheme="majorHAnsi" w:hAnsiTheme="majorHAnsi" w:cstheme="majorHAnsi"/>
                <w:b/>
                <w:bCs/>
                <w:lang w:val="fr-FR"/>
              </w:rPr>
            </w:pPr>
            <w:r w:rsidRPr="00943949">
              <w:rPr>
                <w:rFonts w:asciiTheme="majorHAnsi" w:hAnsiTheme="majorHAnsi" w:cstheme="majorHAnsi"/>
                <w:b/>
                <w:bCs/>
                <w:lang w:val="fr-FR"/>
              </w:rPr>
              <w:t>Mardi</w:t>
            </w:r>
            <w:r w:rsidR="00DA24B3" w:rsidRPr="00943949">
              <w:rPr>
                <w:rFonts w:asciiTheme="majorHAnsi" w:hAnsiTheme="majorHAnsi" w:cstheme="majorHAnsi"/>
                <w:b/>
                <w:bCs/>
                <w:lang w:val="fr-FR"/>
              </w:rPr>
              <w:t xml:space="preserve"> </w:t>
            </w:r>
            <w:r w:rsidR="00B51139" w:rsidRPr="00943949">
              <w:rPr>
                <w:rFonts w:asciiTheme="majorHAnsi" w:hAnsiTheme="majorHAnsi" w:cstheme="majorHAnsi"/>
                <w:b/>
                <w:bCs/>
                <w:lang w:val="fr-FR"/>
              </w:rPr>
              <w:t xml:space="preserve">6 </w:t>
            </w:r>
            <w:r w:rsidRPr="00943949">
              <w:rPr>
                <w:rFonts w:asciiTheme="majorHAnsi" w:hAnsiTheme="majorHAnsi" w:cstheme="majorHAnsi"/>
                <w:b/>
                <w:bCs/>
                <w:lang w:val="fr-FR"/>
              </w:rPr>
              <w:t xml:space="preserve">août </w:t>
            </w:r>
            <w:r w:rsidR="00DA24B3" w:rsidRPr="00943949">
              <w:rPr>
                <w:rFonts w:asciiTheme="majorHAnsi" w:hAnsiTheme="majorHAnsi" w:cstheme="majorHAnsi"/>
                <w:b/>
                <w:bCs/>
                <w:lang w:val="fr-FR"/>
              </w:rPr>
              <w:t>2024</w:t>
            </w:r>
            <w:r w:rsidR="00417F14" w:rsidRPr="00943949">
              <w:rPr>
                <w:rFonts w:asciiTheme="majorHAnsi" w:hAnsiTheme="majorHAnsi" w:cstheme="majorHAnsi"/>
                <w:b/>
                <w:bCs/>
                <w:lang w:val="fr-FR"/>
              </w:rPr>
              <w:t xml:space="preserve"> – </w:t>
            </w:r>
            <w:r w:rsidR="00943949" w:rsidRPr="00943949">
              <w:rPr>
                <w:rFonts w:asciiTheme="majorHAnsi" w:hAnsiTheme="majorHAnsi" w:cstheme="majorHAnsi"/>
                <w:b/>
                <w:bCs/>
                <w:lang w:val="fr-FR"/>
              </w:rPr>
              <w:t xml:space="preserve">Jour </w:t>
            </w:r>
            <w:r w:rsidR="003927C6" w:rsidRPr="00943949">
              <w:rPr>
                <w:rFonts w:asciiTheme="majorHAnsi" w:hAnsiTheme="majorHAnsi" w:cstheme="majorHAnsi"/>
                <w:b/>
                <w:bCs/>
                <w:lang w:val="fr-FR"/>
              </w:rPr>
              <w:t>2</w:t>
            </w:r>
          </w:p>
          <w:p w14:paraId="234BEA71" w14:textId="17DF91DE" w:rsidR="00F67DE9" w:rsidRPr="00943949" w:rsidRDefault="00943949" w:rsidP="00F67DE9">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 xml:space="preserve">Discussion sur la gestion des déchets et les questions émergentes - économie circulaire, contrôle de la pollution, déchets dangereux, véhicules hors d'usage, valorisation énergétique des déchets, déchets </w:t>
            </w:r>
            <w:r w:rsidRPr="00943949">
              <w:rPr>
                <w:rFonts w:asciiTheme="majorHAnsi" w:hAnsiTheme="majorHAnsi" w:cstheme="majorHAnsi"/>
                <w:lang w:val="fr-FR"/>
              </w:rPr>
              <w:t xml:space="preserve">issus </w:t>
            </w:r>
            <w:r w:rsidRPr="00943949">
              <w:rPr>
                <w:rFonts w:asciiTheme="majorHAnsi" w:hAnsiTheme="majorHAnsi" w:cstheme="majorHAnsi"/>
                <w:lang w:val="fr-FR"/>
              </w:rPr>
              <w:t>de catastrophe.</w:t>
            </w:r>
          </w:p>
          <w:p w14:paraId="65EE5A42" w14:textId="69B0877C" w:rsidR="00F67DE9" w:rsidRPr="00943949" w:rsidRDefault="00943949" w:rsidP="00F67DE9">
            <w:pPr>
              <w:rPr>
                <w:rFonts w:asciiTheme="majorHAnsi" w:hAnsiTheme="majorHAnsi" w:cstheme="majorHAnsi"/>
                <w:b/>
                <w:bCs/>
                <w:lang w:val="fr-FR"/>
              </w:rPr>
            </w:pPr>
            <w:r w:rsidRPr="00943949">
              <w:rPr>
                <w:rFonts w:asciiTheme="majorHAnsi" w:hAnsiTheme="majorHAnsi" w:cstheme="majorHAnsi"/>
                <w:b/>
                <w:bCs/>
                <w:lang w:val="fr-FR"/>
              </w:rPr>
              <w:t>Mercredi</w:t>
            </w:r>
            <w:r w:rsidR="00DA24B3" w:rsidRPr="00943949">
              <w:rPr>
                <w:rFonts w:asciiTheme="majorHAnsi" w:hAnsiTheme="majorHAnsi" w:cstheme="majorHAnsi"/>
                <w:b/>
                <w:bCs/>
                <w:lang w:val="fr-FR"/>
              </w:rPr>
              <w:t xml:space="preserve"> </w:t>
            </w:r>
            <w:r w:rsidR="00B51139" w:rsidRPr="00943949">
              <w:rPr>
                <w:rFonts w:asciiTheme="majorHAnsi" w:hAnsiTheme="majorHAnsi" w:cstheme="majorHAnsi"/>
                <w:b/>
                <w:bCs/>
                <w:lang w:val="fr-FR"/>
              </w:rPr>
              <w:t>7</w:t>
            </w:r>
            <w:r w:rsidR="00DA24B3" w:rsidRPr="00943949">
              <w:rPr>
                <w:rFonts w:asciiTheme="majorHAnsi" w:hAnsiTheme="majorHAnsi" w:cstheme="majorHAnsi"/>
                <w:b/>
                <w:bCs/>
                <w:lang w:val="fr-FR"/>
              </w:rPr>
              <w:t xml:space="preserve"> </w:t>
            </w:r>
            <w:r w:rsidR="00CF7E39" w:rsidRPr="00943949">
              <w:rPr>
                <w:rFonts w:asciiTheme="majorHAnsi" w:hAnsiTheme="majorHAnsi" w:cstheme="majorHAnsi"/>
                <w:b/>
                <w:bCs/>
                <w:lang w:val="fr-FR"/>
              </w:rPr>
              <w:t xml:space="preserve">août </w:t>
            </w:r>
            <w:r w:rsidR="00DA24B3" w:rsidRPr="00943949">
              <w:rPr>
                <w:rFonts w:asciiTheme="majorHAnsi" w:hAnsiTheme="majorHAnsi" w:cstheme="majorHAnsi"/>
                <w:b/>
                <w:bCs/>
                <w:lang w:val="fr-FR"/>
              </w:rPr>
              <w:t>2024</w:t>
            </w:r>
            <w:r w:rsidR="00417F14" w:rsidRPr="00943949">
              <w:rPr>
                <w:rFonts w:asciiTheme="majorHAnsi" w:hAnsiTheme="majorHAnsi" w:cstheme="majorHAnsi"/>
                <w:b/>
                <w:bCs/>
                <w:lang w:val="fr-FR"/>
              </w:rPr>
              <w:t xml:space="preserve"> </w:t>
            </w:r>
            <w:r w:rsidR="00E06828" w:rsidRPr="00943949">
              <w:rPr>
                <w:rFonts w:asciiTheme="majorHAnsi" w:hAnsiTheme="majorHAnsi" w:cstheme="majorHAnsi"/>
                <w:b/>
                <w:bCs/>
                <w:lang w:val="fr-FR"/>
              </w:rPr>
              <w:t xml:space="preserve">– </w:t>
            </w:r>
            <w:r w:rsidRPr="00943949">
              <w:rPr>
                <w:rFonts w:asciiTheme="majorHAnsi" w:hAnsiTheme="majorHAnsi" w:cstheme="majorHAnsi"/>
                <w:b/>
                <w:bCs/>
                <w:lang w:val="fr-FR"/>
              </w:rPr>
              <w:t xml:space="preserve">Jour </w:t>
            </w:r>
            <w:r w:rsidR="00E21EF7" w:rsidRPr="00943949">
              <w:rPr>
                <w:rFonts w:asciiTheme="majorHAnsi" w:hAnsiTheme="majorHAnsi" w:cstheme="majorHAnsi"/>
                <w:b/>
                <w:bCs/>
                <w:lang w:val="fr-FR"/>
              </w:rPr>
              <w:t xml:space="preserve">3 </w:t>
            </w:r>
          </w:p>
          <w:p w14:paraId="71DDF115" w14:textId="06531EC1" w:rsidR="00DA24B3" w:rsidRPr="00943949" w:rsidRDefault="006B2274" w:rsidP="00DA24B3">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Dialogue</w:t>
            </w:r>
            <w:r w:rsidR="00943949" w:rsidRPr="00943949">
              <w:rPr>
                <w:rFonts w:asciiTheme="majorHAnsi" w:hAnsiTheme="majorHAnsi" w:cstheme="majorHAnsi"/>
                <w:lang w:val="fr-FR"/>
              </w:rPr>
              <w:t xml:space="preserve"> sur le p</w:t>
            </w:r>
            <w:r w:rsidR="00943949" w:rsidRPr="00943949">
              <w:rPr>
                <w:rFonts w:asciiTheme="majorHAnsi" w:hAnsiTheme="majorHAnsi" w:cstheme="majorHAnsi"/>
                <w:lang w:val="fr-FR"/>
              </w:rPr>
              <w:t>lasti</w:t>
            </w:r>
            <w:r w:rsidR="00943949" w:rsidRPr="00943949">
              <w:rPr>
                <w:rFonts w:asciiTheme="majorHAnsi" w:hAnsiTheme="majorHAnsi" w:cstheme="majorHAnsi"/>
                <w:lang w:val="fr-FR"/>
              </w:rPr>
              <w:t>que</w:t>
            </w:r>
          </w:p>
          <w:p w14:paraId="4F556090" w14:textId="7B71D191" w:rsidR="00417F14" w:rsidRPr="00943949" w:rsidRDefault="00943949" w:rsidP="00417F14">
            <w:pPr>
              <w:rPr>
                <w:rFonts w:asciiTheme="majorHAnsi" w:hAnsiTheme="majorHAnsi" w:cstheme="majorHAnsi"/>
                <w:b/>
                <w:bCs/>
                <w:lang w:val="fr-FR"/>
              </w:rPr>
            </w:pPr>
            <w:r w:rsidRPr="00943949">
              <w:rPr>
                <w:rFonts w:asciiTheme="majorHAnsi" w:hAnsiTheme="majorHAnsi" w:cstheme="majorHAnsi"/>
                <w:b/>
                <w:bCs/>
                <w:lang w:val="fr-FR"/>
              </w:rPr>
              <w:t>Jeudi</w:t>
            </w:r>
            <w:r w:rsidR="00417F14" w:rsidRPr="00943949">
              <w:rPr>
                <w:rFonts w:asciiTheme="majorHAnsi" w:hAnsiTheme="majorHAnsi" w:cstheme="majorHAnsi"/>
                <w:b/>
                <w:bCs/>
                <w:lang w:val="fr-FR"/>
              </w:rPr>
              <w:t xml:space="preserve"> </w:t>
            </w:r>
            <w:r w:rsidR="00B51139" w:rsidRPr="00943949">
              <w:rPr>
                <w:rFonts w:asciiTheme="majorHAnsi" w:hAnsiTheme="majorHAnsi" w:cstheme="majorHAnsi"/>
                <w:b/>
                <w:bCs/>
                <w:lang w:val="fr-FR"/>
              </w:rPr>
              <w:t xml:space="preserve">8 </w:t>
            </w:r>
            <w:r w:rsidR="00CF7E39" w:rsidRPr="00943949">
              <w:rPr>
                <w:rFonts w:asciiTheme="majorHAnsi" w:hAnsiTheme="majorHAnsi" w:cstheme="majorHAnsi"/>
                <w:b/>
                <w:bCs/>
                <w:lang w:val="fr-FR"/>
              </w:rPr>
              <w:t xml:space="preserve">août </w:t>
            </w:r>
            <w:r w:rsidR="00417F14" w:rsidRPr="00943949">
              <w:rPr>
                <w:rFonts w:asciiTheme="majorHAnsi" w:hAnsiTheme="majorHAnsi" w:cstheme="majorHAnsi"/>
                <w:b/>
                <w:bCs/>
                <w:lang w:val="fr-FR"/>
              </w:rPr>
              <w:t xml:space="preserve">2024 - </w:t>
            </w:r>
            <w:r w:rsidRPr="00943949">
              <w:rPr>
                <w:rFonts w:asciiTheme="majorHAnsi" w:hAnsiTheme="majorHAnsi" w:cstheme="majorHAnsi"/>
                <w:b/>
                <w:bCs/>
                <w:lang w:val="fr-FR"/>
              </w:rPr>
              <w:t>Session axée sur les déchets</w:t>
            </w:r>
          </w:p>
          <w:p w14:paraId="3650C0DB" w14:textId="4D2694A9" w:rsidR="001D6C86" w:rsidRPr="00943949" w:rsidRDefault="00943949" w:rsidP="001D6C86">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D</w:t>
            </w:r>
            <w:r w:rsidRPr="00943949">
              <w:rPr>
                <w:rFonts w:asciiTheme="majorHAnsi" w:hAnsiTheme="majorHAnsi" w:cstheme="majorHAnsi"/>
                <w:lang w:val="fr-FR"/>
              </w:rPr>
              <w:t>iscussions spécifiques sur la structure clé et le cadre de la Stratégie « pour une Pacifique plus propre en 20</w:t>
            </w:r>
            <w:r w:rsidRPr="00943949">
              <w:rPr>
                <w:rFonts w:asciiTheme="majorHAnsi" w:hAnsiTheme="majorHAnsi" w:cstheme="majorHAnsi"/>
                <w:lang w:val="fr-FR"/>
              </w:rPr>
              <w:t>3</w:t>
            </w:r>
            <w:r w:rsidRPr="00943949">
              <w:rPr>
                <w:rFonts w:asciiTheme="majorHAnsi" w:hAnsiTheme="majorHAnsi" w:cstheme="majorHAnsi"/>
                <w:lang w:val="fr-FR"/>
              </w:rPr>
              <w:t>5 »</w:t>
            </w:r>
          </w:p>
          <w:p w14:paraId="1CCEA0DE" w14:textId="303EFDC2" w:rsidR="00943949" w:rsidRPr="00943949" w:rsidRDefault="00943949" w:rsidP="00580481">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Développement d'une vision commune pour la Stratégie « pour une Pacifique plus propre en 2035 » et engagement de haut niveau.</w:t>
            </w:r>
          </w:p>
          <w:p w14:paraId="25D534DE" w14:textId="77777777" w:rsidR="00943949" w:rsidRPr="00943949" w:rsidRDefault="00943949" w:rsidP="00943949">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Précision quant aux manques</w:t>
            </w:r>
            <w:r w:rsidRPr="00943949">
              <w:rPr>
                <w:rFonts w:asciiTheme="majorHAnsi" w:hAnsiTheme="majorHAnsi" w:cstheme="majorHAnsi"/>
                <w:lang w:val="fr-FR"/>
              </w:rPr>
              <w:t xml:space="preserve"> et besoins de la région pour réaliser la Stratégie « pour une Pacifique plus propre en 2035 »</w:t>
            </w:r>
          </w:p>
          <w:p w14:paraId="4EB5D8B5" w14:textId="77777777" w:rsidR="00943949" w:rsidRPr="00943949" w:rsidRDefault="00943949" w:rsidP="00943949">
            <w:pPr>
              <w:pStyle w:val="ListParagraph"/>
              <w:numPr>
                <w:ilvl w:val="0"/>
                <w:numId w:val="51"/>
              </w:numPr>
              <w:rPr>
                <w:rFonts w:asciiTheme="majorHAnsi" w:hAnsiTheme="majorHAnsi" w:cstheme="majorHAnsi"/>
                <w:b/>
                <w:bCs/>
                <w:lang w:val="fr-FR"/>
              </w:rPr>
            </w:pPr>
            <w:r w:rsidRPr="00943949">
              <w:rPr>
                <w:rFonts w:asciiTheme="majorHAnsi" w:hAnsiTheme="majorHAnsi" w:cstheme="majorHAnsi"/>
                <w:lang w:val="fr-FR"/>
              </w:rPr>
              <w:t>Développement et accord sur la déclaration de résultats</w:t>
            </w:r>
          </w:p>
          <w:p w14:paraId="19B632A7" w14:textId="15AD0AD6" w:rsidR="00943949" w:rsidRPr="00943949" w:rsidRDefault="00417F14" w:rsidP="00943949">
            <w:pPr>
              <w:rPr>
                <w:rFonts w:asciiTheme="majorHAnsi" w:hAnsiTheme="majorHAnsi" w:cstheme="majorHAnsi"/>
                <w:b/>
                <w:bCs/>
                <w:lang w:val="fr-FR"/>
              </w:rPr>
            </w:pPr>
            <w:r w:rsidRPr="00943949">
              <w:rPr>
                <w:rFonts w:asciiTheme="majorHAnsi" w:hAnsiTheme="majorHAnsi" w:cstheme="majorHAnsi"/>
                <w:b/>
                <w:bCs/>
                <w:lang w:val="fr-FR"/>
              </w:rPr>
              <w:t xml:space="preserve">Friday </w:t>
            </w:r>
            <w:r w:rsidR="00B51139" w:rsidRPr="00943949">
              <w:rPr>
                <w:rFonts w:asciiTheme="majorHAnsi" w:hAnsiTheme="majorHAnsi" w:cstheme="majorHAnsi"/>
                <w:b/>
                <w:bCs/>
                <w:lang w:val="fr-FR"/>
              </w:rPr>
              <w:t xml:space="preserve">9 </w:t>
            </w:r>
            <w:r w:rsidR="00CF7E39" w:rsidRPr="00943949">
              <w:rPr>
                <w:rFonts w:asciiTheme="majorHAnsi" w:hAnsiTheme="majorHAnsi" w:cstheme="majorHAnsi"/>
                <w:b/>
                <w:bCs/>
                <w:lang w:val="fr-FR"/>
              </w:rPr>
              <w:t xml:space="preserve">août </w:t>
            </w:r>
            <w:r w:rsidRPr="00943949">
              <w:rPr>
                <w:rFonts w:asciiTheme="majorHAnsi" w:hAnsiTheme="majorHAnsi" w:cstheme="majorHAnsi"/>
                <w:b/>
                <w:bCs/>
                <w:lang w:val="fr-FR"/>
              </w:rPr>
              <w:t xml:space="preserve">2024 </w:t>
            </w:r>
            <w:r w:rsidR="007A43DB" w:rsidRPr="00943949">
              <w:rPr>
                <w:rFonts w:asciiTheme="majorHAnsi" w:hAnsiTheme="majorHAnsi" w:cstheme="majorHAnsi"/>
                <w:b/>
                <w:bCs/>
                <w:lang w:val="fr-FR"/>
              </w:rPr>
              <w:t>–</w:t>
            </w:r>
            <w:r w:rsidRPr="00943949">
              <w:rPr>
                <w:rFonts w:asciiTheme="majorHAnsi" w:hAnsiTheme="majorHAnsi" w:cstheme="majorHAnsi"/>
                <w:lang w:val="fr-FR"/>
              </w:rPr>
              <w:t xml:space="preserve"> </w:t>
            </w:r>
            <w:r w:rsidR="00943949" w:rsidRPr="00943949">
              <w:rPr>
                <w:rFonts w:asciiTheme="majorHAnsi" w:hAnsiTheme="majorHAnsi" w:cstheme="majorHAnsi"/>
                <w:b/>
                <w:bCs/>
                <w:lang w:val="fr-FR"/>
              </w:rPr>
              <w:t xml:space="preserve">Déclaration </w:t>
            </w:r>
            <w:r w:rsidR="00943949" w:rsidRPr="00943949">
              <w:rPr>
                <w:rFonts w:asciiTheme="majorHAnsi" w:hAnsiTheme="majorHAnsi" w:cstheme="majorHAnsi"/>
                <w:b/>
                <w:bCs/>
                <w:lang w:val="fr-FR"/>
              </w:rPr>
              <w:t>au regard des</w:t>
            </w:r>
            <w:r w:rsidR="00943949" w:rsidRPr="00943949">
              <w:rPr>
                <w:rFonts w:asciiTheme="majorHAnsi" w:hAnsiTheme="majorHAnsi" w:cstheme="majorHAnsi"/>
                <w:b/>
                <w:bCs/>
                <w:lang w:val="fr-FR"/>
              </w:rPr>
              <w:t xml:space="preserve"> résultats </w:t>
            </w:r>
            <w:proofErr w:type="spellStart"/>
            <w:r w:rsidR="00943949" w:rsidRPr="00943949">
              <w:rPr>
                <w:rFonts w:asciiTheme="majorHAnsi" w:hAnsiTheme="majorHAnsi" w:cstheme="majorHAnsi"/>
                <w:b/>
                <w:bCs/>
                <w:lang w:val="fr-FR"/>
              </w:rPr>
              <w:t>des</w:t>
            </w:r>
            <w:proofErr w:type="spellEnd"/>
            <w:r w:rsidR="00943949" w:rsidRPr="00943949">
              <w:rPr>
                <w:rFonts w:asciiTheme="majorHAnsi" w:hAnsiTheme="majorHAnsi" w:cstheme="majorHAnsi"/>
                <w:b/>
                <w:bCs/>
                <w:lang w:val="fr-FR"/>
              </w:rPr>
              <w:t xml:space="preserve"> </w:t>
            </w:r>
            <w:r w:rsidR="00943949" w:rsidRPr="00943949">
              <w:rPr>
                <w:rFonts w:asciiTheme="majorHAnsi" w:hAnsiTheme="majorHAnsi" w:cstheme="majorHAnsi"/>
                <w:b/>
                <w:bCs/>
                <w:lang w:val="fr-FR"/>
              </w:rPr>
              <w:t>table</w:t>
            </w:r>
            <w:r w:rsidR="00943949" w:rsidRPr="00943949">
              <w:rPr>
                <w:rFonts w:asciiTheme="majorHAnsi" w:hAnsiTheme="majorHAnsi" w:cstheme="majorHAnsi"/>
                <w:b/>
                <w:bCs/>
                <w:lang w:val="fr-FR"/>
              </w:rPr>
              <w:t>s</w:t>
            </w:r>
            <w:r w:rsidR="00943949" w:rsidRPr="00943949">
              <w:rPr>
                <w:rFonts w:asciiTheme="majorHAnsi" w:hAnsiTheme="majorHAnsi" w:cstheme="majorHAnsi"/>
                <w:b/>
                <w:bCs/>
                <w:lang w:val="fr-FR"/>
              </w:rPr>
              <w:t xml:space="preserve"> ronde</w:t>
            </w:r>
            <w:r w:rsidR="00943949" w:rsidRPr="00943949">
              <w:rPr>
                <w:rFonts w:asciiTheme="majorHAnsi" w:hAnsiTheme="majorHAnsi" w:cstheme="majorHAnsi"/>
                <w:b/>
                <w:bCs/>
                <w:lang w:val="fr-FR"/>
              </w:rPr>
              <w:t xml:space="preserve">s pour un Pacifique propre, </w:t>
            </w:r>
            <w:r w:rsidR="00943949" w:rsidRPr="00943949">
              <w:rPr>
                <w:rFonts w:asciiTheme="majorHAnsi" w:hAnsiTheme="majorHAnsi" w:cstheme="majorHAnsi"/>
                <w:b/>
                <w:bCs/>
                <w:lang w:val="fr-FR"/>
              </w:rPr>
              <w:t xml:space="preserve">des </w:t>
            </w:r>
            <w:r w:rsidR="00943949" w:rsidRPr="00943949">
              <w:rPr>
                <w:rFonts w:asciiTheme="majorHAnsi" w:hAnsiTheme="majorHAnsi" w:cstheme="majorHAnsi"/>
                <w:b/>
                <w:bCs/>
                <w:lang w:val="fr-FR"/>
              </w:rPr>
              <w:t>bailleurs de fonds</w:t>
            </w:r>
            <w:r w:rsidR="00943949" w:rsidRPr="00943949">
              <w:rPr>
                <w:rFonts w:asciiTheme="majorHAnsi" w:hAnsiTheme="majorHAnsi" w:cstheme="majorHAnsi"/>
                <w:b/>
                <w:bCs/>
                <w:lang w:val="fr-FR"/>
              </w:rPr>
              <w:t xml:space="preserve"> et des partenaires d</w:t>
            </w:r>
            <w:r w:rsidR="00943949" w:rsidRPr="00943949">
              <w:rPr>
                <w:rFonts w:asciiTheme="majorHAnsi" w:hAnsiTheme="majorHAnsi" w:cstheme="majorHAnsi"/>
                <w:b/>
                <w:bCs/>
                <w:lang w:val="fr-FR"/>
              </w:rPr>
              <w:t>u</w:t>
            </w:r>
            <w:r w:rsidR="00943949" w:rsidRPr="00943949">
              <w:rPr>
                <w:rFonts w:asciiTheme="majorHAnsi" w:hAnsiTheme="majorHAnsi" w:cstheme="majorHAnsi"/>
                <w:b/>
                <w:bCs/>
                <w:lang w:val="fr-FR"/>
              </w:rPr>
              <w:t xml:space="preserve"> développement</w:t>
            </w:r>
          </w:p>
          <w:p w14:paraId="0AEAAC2A" w14:textId="519C4E86" w:rsidR="00943949" w:rsidRPr="00943949" w:rsidRDefault="00943949" w:rsidP="00943949">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 xml:space="preserve">Élaboration de la déclaration </w:t>
            </w:r>
            <w:r w:rsidRPr="00943949">
              <w:rPr>
                <w:rFonts w:asciiTheme="majorHAnsi" w:hAnsiTheme="majorHAnsi" w:cstheme="majorHAnsi"/>
                <w:lang w:val="fr-FR"/>
              </w:rPr>
              <w:t>au regard des</w:t>
            </w:r>
            <w:r w:rsidRPr="00943949">
              <w:rPr>
                <w:rFonts w:asciiTheme="majorHAnsi" w:hAnsiTheme="majorHAnsi" w:cstheme="majorHAnsi"/>
                <w:lang w:val="fr-FR"/>
              </w:rPr>
              <w:t xml:space="preserve"> résultats </w:t>
            </w:r>
            <w:r w:rsidRPr="00943949">
              <w:rPr>
                <w:rFonts w:asciiTheme="majorHAnsi" w:hAnsiTheme="majorHAnsi" w:cstheme="majorHAnsi"/>
                <w:lang w:val="fr-FR"/>
              </w:rPr>
              <w:t>de la table ronde pour un Pacifique propre</w:t>
            </w:r>
          </w:p>
          <w:p w14:paraId="67DB794F" w14:textId="04DFD250" w:rsidR="00943949" w:rsidRPr="00943949" w:rsidRDefault="00943949" w:rsidP="00943949">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Lancement des LOA, MOU, rapports, etc. relatifs à la gestion des déchets.</w:t>
            </w:r>
          </w:p>
          <w:p w14:paraId="722B0866" w14:textId="29532013" w:rsidR="00DA24B3" w:rsidRPr="00943949" w:rsidRDefault="00943949" w:rsidP="00943949">
            <w:pPr>
              <w:pStyle w:val="ListParagraph"/>
              <w:numPr>
                <w:ilvl w:val="0"/>
                <w:numId w:val="51"/>
              </w:numPr>
              <w:rPr>
                <w:rFonts w:asciiTheme="majorHAnsi" w:hAnsiTheme="majorHAnsi" w:cstheme="majorHAnsi"/>
                <w:lang w:val="fr-FR"/>
              </w:rPr>
            </w:pPr>
            <w:r w:rsidRPr="00943949">
              <w:rPr>
                <w:rFonts w:asciiTheme="majorHAnsi" w:hAnsiTheme="majorHAnsi" w:cstheme="majorHAnsi"/>
                <w:lang w:val="fr-FR"/>
              </w:rPr>
              <w:t xml:space="preserve">Discussion </w:t>
            </w:r>
            <w:r w:rsidRPr="00943949">
              <w:rPr>
                <w:rFonts w:asciiTheme="majorHAnsi" w:hAnsiTheme="majorHAnsi" w:cstheme="majorHAnsi"/>
                <w:lang w:val="fr-FR"/>
              </w:rPr>
              <w:t>afin</w:t>
            </w:r>
            <w:r w:rsidRPr="00943949">
              <w:rPr>
                <w:rFonts w:asciiTheme="majorHAnsi" w:hAnsiTheme="majorHAnsi" w:cstheme="majorHAnsi"/>
                <w:lang w:val="fr-FR"/>
              </w:rPr>
              <w:t xml:space="preserve"> que les bailleurs de fonds et les partenaires d</w:t>
            </w:r>
            <w:r w:rsidRPr="00943949">
              <w:rPr>
                <w:rFonts w:asciiTheme="majorHAnsi" w:hAnsiTheme="majorHAnsi" w:cstheme="majorHAnsi"/>
                <w:lang w:val="fr-FR"/>
              </w:rPr>
              <w:t>u</w:t>
            </w:r>
            <w:r w:rsidRPr="00943949">
              <w:rPr>
                <w:rFonts w:asciiTheme="majorHAnsi" w:hAnsiTheme="majorHAnsi" w:cstheme="majorHAnsi"/>
                <w:lang w:val="fr-FR"/>
              </w:rPr>
              <w:t xml:space="preserve"> développement réfléchissent et réagissent aux résultats de la table ronde pour un Pacifique propre</w:t>
            </w:r>
            <w:r w:rsidRPr="00943949">
              <w:rPr>
                <w:rFonts w:asciiTheme="majorHAnsi" w:hAnsiTheme="majorHAnsi" w:cstheme="majorHAnsi"/>
                <w:lang w:val="fr-FR"/>
              </w:rPr>
              <w:t xml:space="preserve">, </w:t>
            </w:r>
            <w:r w:rsidRPr="00943949">
              <w:rPr>
                <w:rFonts w:asciiTheme="majorHAnsi" w:hAnsiTheme="majorHAnsi" w:cstheme="majorHAnsi"/>
                <w:lang w:val="fr-FR"/>
              </w:rPr>
              <w:t xml:space="preserve">et confirment leur intérêt pour les différentes questions/secteurs </w:t>
            </w:r>
            <w:r>
              <w:rPr>
                <w:rFonts w:asciiTheme="majorHAnsi" w:hAnsiTheme="majorHAnsi" w:cstheme="majorHAnsi"/>
                <w:lang w:val="fr-FR"/>
              </w:rPr>
              <w:t>dans le but d’</w:t>
            </w:r>
            <w:r w:rsidRPr="00943949">
              <w:rPr>
                <w:rFonts w:asciiTheme="majorHAnsi" w:hAnsiTheme="majorHAnsi" w:cstheme="majorHAnsi"/>
                <w:lang w:val="fr-FR"/>
              </w:rPr>
              <w:t xml:space="preserve">entamer des discussions actives </w:t>
            </w:r>
            <w:r>
              <w:rPr>
                <w:rFonts w:asciiTheme="majorHAnsi" w:hAnsiTheme="majorHAnsi" w:cstheme="majorHAnsi"/>
                <w:lang w:val="fr-FR"/>
              </w:rPr>
              <w:t>au sein de</w:t>
            </w:r>
            <w:r w:rsidRPr="00943949">
              <w:rPr>
                <w:rFonts w:asciiTheme="majorHAnsi" w:hAnsiTheme="majorHAnsi" w:cstheme="majorHAnsi"/>
                <w:lang w:val="fr-FR"/>
              </w:rPr>
              <w:t xml:space="preserve"> la région concernant les possibilités de financement.</w:t>
            </w:r>
          </w:p>
        </w:tc>
      </w:tr>
      <w:tr w:rsidR="006614F7" w:rsidRPr="000E1C2C" w14:paraId="0383C88C" w14:textId="77777777" w:rsidTr="00C15D90">
        <w:trPr>
          <w:trHeight w:val="333"/>
        </w:trPr>
        <w:tc>
          <w:tcPr>
            <w:tcW w:w="1512" w:type="dxa"/>
          </w:tcPr>
          <w:p w14:paraId="64791E9B" w14:textId="05298210" w:rsidR="000E1C2C" w:rsidRPr="00943949" w:rsidRDefault="000E1C2C" w:rsidP="000E1C2C">
            <w:pPr>
              <w:rPr>
                <w:rStyle w:val="Heading1Char"/>
                <w:rFonts w:cstheme="majorHAnsi"/>
                <w:sz w:val="22"/>
                <w:szCs w:val="22"/>
              </w:rPr>
            </w:pPr>
            <w:bookmarkStart w:id="2" w:name="_Toc52972319"/>
            <w:r w:rsidRPr="00943949">
              <w:rPr>
                <w:rStyle w:val="Heading1Char"/>
                <w:rFonts w:cstheme="majorHAnsi"/>
                <w:sz w:val="22"/>
                <w:szCs w:val="22"/>
              </w:rPr>
              <w:t>Date</w:t>
            </w:r>
            <w:r w:rsidR="00033BF5" w:rsidRPr="00943949">
              <w:rPr>
                <w:rStyle w:val="Heading1Char"/>
                <w:rFonts w:cstheme="majorHAnsi"/>
                <w:sz w:val="22"/>
                <w:szCs w:val="22"/>
              </w:rPr>
              <w:t xml:space="preserve">, </w:t>
            </w:r>
            <w:r w:rsidRPr="00943949">
              <w:rPr>
                <w:rStyle w:val="Heading1Char"/>
                <w:rFonts w:cstheme="majorHAnsi"/>
                <w:sz w:val="22"/>
                <w:szCs w:val="22"/>
              </w:rPr>
              <w:t>dur</w:t>
            </w:r>
            <w:bookmarkEnd w:id="2"/>
            <w:r w:rsidR="00943949" w:rsidRPr="00943949">
              <w:rPr>
                <w:rStyle w:val="Heading1Char"/>
                <w:rFonts w:cstheme="majorHAnsi"/>
                <w:sz w:val="22"/>
                <w:szCs w:val="22"/>
              </w:rPr>
              <w:t>ée</w:t>
            </w:r>
            <w:r w:rsidR="00033BF5" w:rsidRPr="00943949">
              <w:rPr>
                <w:rStyle w:val="Heading1Char"/>
                <w:rFonts w:cstheme="majorHAnsi"/>
                <w:sz w:val="22"/>
                <w:szCs w:val="22"/>
              </w:rPr>
              <w:t xml:space="preserve"> </w:t>
            </w:r>
            <w:r w:rsidR="00943949" w:rsidRPr="00943949">
              <w:rPr>
                <w:rStyle w:val="Heading1Char"/>
                <w:rFonts w:cstheme="majorHAnsi"/>
                <w:sz w:val="22"/>
                <w:szCs w:val="22"/>
              </w:rPr>
              <w:t>et</w:t>
            </w:r>
            <w:r w:rsidR="00033BF5" w:rsidRPr="00943949">
              <w:rPr>
                <w:rStyle w:val="Heading1Char"/>
                <w:rFonts w:cstheme="majorHAnsi"/>
                <w:sz w:val="22"/>
                <w:szCs w:val="22"/>
              </w:rPr>
              <w:t xml:space="preserve"> </w:t>
            </w:r>
            <w:r w:rsidR="00943949" w:rsidRPr="00943949">
              <w:rPr>
                <w:rStyle w:val="Heading1Char"/>
                <w:rFonts w:cstheme="majorHAnsi"/>
                <w:sz w:val="22"/>
                <w:szCs w:val="22"/>
              </w:rPr>
              <w:t>lieu</w:t>
            </w:r>
          </w:p>
        </w:tc>
        <w:tc>
          <w:tcPr>
            <w:tcW w:w="7504" w:type="dxa"/>
          </w:tcPr>
          <w:p w14:paraId="4A7F699F" w14:textId="6637A182" w:rsidR="00033BF5" w:rsidRPr="00943949" w:rsidRDefault="00033BF5" w:rsidP="00033BF5">
            <w:pPr>
              <w:pStyle w:val="ListParagraph"/>
              <w:numPr>
                <w:ilvl w:val="0"/>
                <w:numId w:val="37"/>
              </w:numPr>
              <w:spacing w:after="240"/>
              <w:rPr>
                <w:rFonts w:asciiTheme="majorHAnsi" w:hAnsiTheme="majorHAnsi" w:cstheme="majorHAnsi"/>
                <w:b/>
                <w:bCs/>
                <w:lang w:val="fr-FR"/>
              </w:rPr>
            </w:pPr>
            <w:r w:rsidRPr="00943949">
              <w:rPr>
                <w:rFonts w:asciiTheme="majorHAnsi" w:hAnsiTheme="majorHAnsi" w:cstheme="majorHAnsi"/>
                <w:lang w:val="fr-FR"/>
              </w:rPr>
              <w:t>Dates</w:t>
            </w:r>
            <w:r w:rsidR="00943949" w:rsidRPr="00943949">
              <w:rPr>
                <w:rFonts w:asciiTheme="majorHAnsi" w:hAnsiTheme="majorHAnsi" w:cstheme="majorHAnsi"/>
                <w:lang w:val="fr-FR"/>
              </w:rPr>
              <w:t xml:space="preserve"> </w:t>
            </w:r>
            <w:r w:rsidRPr="00943949">
              <w:rPr>
                <w:rFonts w:asciiTheme="majorHAnsi" w:hAnsiTheme="majorHAnsi" w:cstheme="majorHAnsi"/>
                <w:lang w:val="fr-FR"/>
              </w:rPr>
              <w:t xml:space="preserve">: </w:t>
            </w:r>
            <w:r w:rsidR="00943949" w:rsidRPr="00943949">
              <w:rPr>
                <w:rFonts w:asciiTheme="majorHAnsi" w:hAnsiTheme="majorHAnsi" w:cstheme="majorHAnsi"/>
                <w:lang w:val="fr-FR"/>
              </w:rPr>
              <w:t>durée totale de</w:t>
            </w:r>
            <w:r w:rsidR="00FE7EE4" w:rsidRPr="00943949">
              <w:rPr>
                <w:rFonts w:asciiTheme="majorHAnsi" w:hAnsiTheme="majorHAnsi" w:cstheme="majorHAnsi"/>
                <w:lang w:val="fr-FR"/>
              </w:rPr>
              <w:t xml:space="preserve"> </w:t>
            </w:r>
            <w:r w:rsidR="003F237B" w:rsidRPr="00943949">
              <w:rPr>
                <w:rFonts w:asciiTheme="majorHAnsi" w:hAnsiTheme="majorHAnsi" w:cstheme="majorHAnsi"/>
                <w:lang w:val="fr-FR"/>
              </w:rPr>
              <w:t>5</w:t>
            </w:r>
            <w:r w:rsidR="00FE7EE4" w:rsidRPr="00943949">
              <w:rPr>
                <w:rFonts w:asciiTheme="majorHAnsi" w:hAnsiTheme="majorHAnsi" w:cstheme="majorHAnsi"/>
                <w:lang w:val="fr-FR"/>
              </w:rPr>
              <w:t xml:space="preserve"> </w:t>
            </w:r>
            <w:r w:rsidR="00943949" w:rsidRPr="00943949">
              <w:rPr>
                <w:rFonts w:asciiTheme="majorHAnsi" w:hAnsiTheme="majorHAnsi" w:cstheme="majorHAnsi"/>
                <w:lang w:val="fr-FR"/>
              </w:rPr>
              <w:t>jours</w:t>
            </w:r>
            <w:r w:rsidR="00FE7EE4" w:rsidRPr="00943949">
              <w:rPr>
                <w:rFonts w:asciiTheme="majorHAnsi" w:hAnsiTheme="majorHAnsi" w:cstheme="majorHAnsi"/>
                <w:lang w:val="fr-FR"/>
              </w:rPr>
              <w:t xml:space="preserve"> </w:t>
            </w:r>
            <w:r w:rsidR="00943949" w:rsidRPr="00943949">
              <w:rPr>
                <w:rFonts w:asciiTheme="majorHAnsi" w:hAnsiTheme="majorHAnsi" w:cstheme="majorHAnsi"/>
                <w:lang w:val="fr-FR"/>
              </w:rPr>
              <w:t>à partir du</w:t>
            </w:r>
            <w:r w:rsidR="00FE7EE4" w:rsidRPr="00943949">
              <w:rPr>
                <w:rFonts w:asciiTheme="majorHAnsi" w:hAnsiTheme="majorHAnsi" w:cstheme="majorHAnsi"/>
                <w:lang w:val="fr-FR"/>
              </w:rPr>
              <w:t xml:space="preserve"> </w:t>
            </w:r>
            <w:r w:rsidR="00943949" w:rsidRPr="00943949">
              <w:rPr>
                <w:rFonts w:asciiTheme="majorHAnsi" w:hAnsiTheme="majorHAnsi" w:cstheme="majorHAnsi"/>
                <w:b/>
                <w:bCs/>
                <w:lang w:val="fr-FR"/>
              </w:rPr>
              <w:t>lundi</w:t>
            </w:r>
            <w:r w:rsidR="008401B0" w:rsidRPr="00943949">
              <w:rPr>
                <w:rFonts w:asciiTheme="majorHAnsi" w:hAnsiTheme="majorHAnsi" w:cstheme="majorHAnsi"/>
                <w:b/>
                <w:bCs/>
                <w:lang w:val="fr-FR"/>
              </w:rPr>
              <w:t xml:space="preserve"> </w:t>
            </w:r>
            <w:r w:rsidR="003F237B" w:rsidRPr="00943949">
              <w:rPr>
                <w:rFonts w:asciiTheme="majorHAnsi" w:hAnsiTheme="majorHAnsi" w:cstheme="majorHAnsi"/>
                <w:b/>
                <w:bCs/>
                <w:lang w:val="fr-FR"/>
              </w:rPr>
              <w:t>5</w:t>
            </w:r>
            <w:r w:rsidR="008401B0" w:rsidRPr="00943949">
              <w:rPr>
                <w:rFonts w:asciiTheme="majorHAnsi" w:hAnsiTheme="majorHAnsi" w:cstheme="majorHAnsi"/>
                <w:b/>
                <w:bCs/>
                <w:lang w:val="fr-FR"/>
              </w:rPr>
              <w:t xml:space="preserve"> </w:t>
            </w:r>
            <w:r w:rsidR="00943949" w:rsidRPr="00943949">
              <w:rPr>
                <w:rFonts w:asciiTheme="majorHAnsi" w:hAnsiTheme="majorHAnsi" w:cstheme="majorHAnsi"/>
                <w:b/>
                <w:bCs/>
                <w:lang w:val="fr-FR"/>
              </w:rPr>
              <w:t xml:space="preserve">août </w:t>
            </w:r>
            <w:r w:rsidR="00943949" w:rsidRPr="00943949">
              <w:rPr>
                <w:rFonts w:asciiTheme="majorHAnsi" w:hAnsiTheme="majorHAnsi" w:cstheme="majorHAnsi"/>
                <w:b/>
                <w:bCs/>
                <w:lang w:val="fr-FR"/>
              </w:rPr>
              <w:t>au</w:t>
            </w:r>
            <w:r w:rsidR="00B266C9" w:rsidRPr="00943949">
              <w:rPr>
                <w:rFonts w:asciiTheme="majorHAnsi" w:hAnsiTheme="majorHAnsi" w:cstheme="majorHAnsi"/>
                <w:b/>
                <w:bCs/>
                <w:lang w:val="fr-FR"/>
              </w:rPr>
              <w:t xml:space="preserve"> </w:t>
            </w:r>
            <w:r w:rsidR="00943949" w:rsidRPr="00943949">
              <w:rPr>
                <w:rFonts w:asciiTheme="majorHAnsi" w:hAnsiTheme="majorHAnsi" w:cstheme="majorHAnsi"/>
                <w:b/>
                <w:bCs/>
                <w:lang w:val="fr-FR"/>
              </w:rPr>
              <w:t>vendredi</w:t>
            </w:r>
            <w:r w:rsidR="008940C5" w:rsidRPr="00943949">
              <w:rPr>
                <w:rFonts w:asciiTheme="majorHAnsi" w:hAnsiTheme="majorHAnsi" w:cstheme="majorHAnsi"/>
                <w:b/>
                <w:bCs/>
                <w:lang w:val="fr-FR"/>
              </w:rPr>
              <w:t xml:space="preserve"> </w:t>
            </w:r>
            <w:r w:rsidR="008401B0" w:rsidRPr="00943949">
              <w:rPr>
                <w:rFonts w:asciiTheme="majorHAnsi" w:hAnsiTheme="majorHAnsi" w:cstheme="majorHAnsi"/>
                <w:b/>
                <w:bCs/>
                <w:lang w:val="fr-FR"/>
              </w:rPr>
              <w:t xml:space="preserve">9 </w:t>
            </w:r>
            <w:r w:rsidR="00943949" w:rsidRPr="00943949">
              <w:rPr>
                <w:rFonts w:asciiTheme="majorHAnsi" w:hAnsiTheme="majorHAnsi" w:cstheme="majorHAnsi"/>
                <w:b/>
                <w:bCs/>
                <w:lang w:val="fr-FR"/>
              </w:rPr>
              <w:t xml:space="preserve">août </w:t>
            </w:r>
            <w:r w:rsidR="00B266C9" w:rsidRPr="00943949">
              <w:rPr>
                <w:rFonts w:asciiTheme="majorHAnsi" w:hAnsiTheme="majorHAnsi" w:cstheme="majorHAnsi"/>
                <w:b/>
                <w:bCs/>
                <w:lang w:val="fr-FR"/>
              </w:rPr>
              <w:t>202</w:t>
            </w:r>
            <w:r w:rsidR="008401B0" w:rsidRPr="00943949">
              <w:rPr>
                <w:rFonts w:asciiTheme="majorHAnsi" w:hAnsiTheme="majorHAnsi" w:cstheme="majorHAnsi"/>
                <w:b/>
                <w:bCs/>
                <w:lang w:val="fr-FR"/>
              </w:rPr>
              <w:t>4</w:t>
            </w:r>
            <w:r w:rsidR="00B266C9" w:rsidRPr="00943949">
              <w:rPr>
                <w:rFonts w:asciiTheme="majorHAnsi" w:hAnsiTheme="majorHAnsi" w:cstheme="majorHAnsi"/>
                <w:b/>
                <w:bCs/>
                <w:lang w:val="fr-FR"/>
              </w:rPr>
              <w:t>.</w:t>
            </w:r>
            <w:r w:rsidRPr="00943949">
              <w:rPr>
                <w:rFonts w:asciiTheme="majorHAnsi" w:hAnsiTheme="majorHAnsi" w:cstheme="majorHAnsi"/>
                <w:b/>
                <w:bCs/>
                <w:lang w:val="fr-FR"/>
              </w:rPr>
              <w:t xml:space="preserve"> </w:t>
            </w:r>
          </w:p>
          <w:p w14:paraId="4CCD6579" w14:textId="6DA76782" w:rsidR="000E1C2C" w:rsidRPr="00943949" w:rsidRDefault="00033BF5" w:rsidP="00033BF5">
            <w:pPr>
              <w:pStyle w:val="ListParagraph"/>
              <w:numPr>
                <w:ilvl w:val="0"/>
                <w:numId w:val="37"/>
              </w:numPr>
              <w:spacing w:after="240"/>
              <w:rPr>
                <w:rFonts w:asciiTheme="majorHAnsi" w:hAnsiTheme="majorHAnsi" w:cstheme="majorHAnsi"/>
                <w:lang w:val="fr-FR"/>
              </w:rPr>
            </w:pPr>
            <w:r w:rsidRPr="00943949">
              <w:rPr>
                <w:rFonts w:asciiTheme="majorHAnsi" w:hAnsiTheme="majorHAnsi" w:cstheme="majorHAnsi"/>
                <w:lang w:val="fr-FR"/>
              </w:rPr>
              <w:t>Dur</w:t>
            </w:r>
            <w:r w:rsidR="00943949" w:rsidRPr="00943949">
              <w:rPr>
                <w:rFonts w:asciiTheme="majorHAnsi" w:hAnsiTheme="majorHAnsi" w:cstheme="majorHAnsi"/>
                <w:lang w:val="fr-FR"/>
              </w:rPr>
              <w:t xml:space="preserve">ée </w:t>
            </w:r>
            <w:r w:rsidRPr="00943949">
              <w:rPr>
                <w:rFonts w:asciiTheme="majorHAnsi" w:hAnsiTheme="majorHAnsi" w:cstheme="majorHAnsi"/>
                <w:lang w:val="fr-FR"/>
              </w:rPr>
              <w:t xml:space="preserve">: </w:t>
            </w:r>
            <w:r w:rsidR="00943949" w:rsidRPr="00943949">
              <w:rPr>
                <w:rFonts w:asciiTheme="majorHAnsi" w:hAnsiTheme="majorHAnsi" w:cstheme="majorHAnsi"/>
                <w:lang w:val="fr-FR"/>
              </w:rPr>
              <w:t xml:space="preserve">Le programme officiel ne devrait pas dépasser 8 heures par jour (la durée des sessions spécifiques </w:t>
            </w:r>
            <w:r w:rsidR="00943949">
              <w:rPr>
                <w:rFonts w:asciiTheme="majorHAnsi" w:hAnsiTheme="majorHAnsi" w:cstheme="majorHAnsi"/>
                <w:lang w:val="fr-FR"/>
              </w:rPr>
              <w:t>est à confirmer</w:t>
            </w:r>
            <w:r w:rsidR="00943949" w:rsidRPr="00943949">
              <w:rPr>
                <w:rFonts w:asciiTheme="majorHAnsi" w:hAnsiTheme="majorHAnsi" w:cstheme="majorHAnsi"/>
                <w:lang w:val="fr-FR"/>
              </w:rPr>
              <w:t>)</w:t>
            </w:r>
          </w:p>
          <w:p w14:paraId="159801A5" w14:textId="0E2EC955" w:rsidR="00033BF5" w:rsidRPr="00943949" w:rsidRDefault="00943949" w:rsidP="00033BF5">
            <w:pPr>
              <w:pStyle w:val="ListParagraph"/>
              <w:numPr>
                <w:ilvl w:val="0"/>
                <w:numId w:val="37"/>
              </w:numPr>
              <w:spacing w:after="240"/>
              <w:rPr>
                <w:rFonts w:asciiTheme="majorHAnsi" w:hAnsiTheme="majorHAnsi" w:cstheme="majorHAnsi"/>
              </w:rPr>
            </w:pPr>
            <w:r w:rsidRPr="00943949">
              <w:rPr>
                <w:rFonts w:asciiTheme="majorHAnsi" w:hAnsiTheme="majorHAnsi" w:cstheme="majorHAnsi"/>
              </w:rPr>
              <w:t xml:space="preserve">Lieu </w:t>
            </w:r>
            <w:r w:rsidR="00033BF5" w:rsidRPr="00943949">
              <w:rPr>
                <w:rFonts w:asciiTheme="majorHAnsi" w:hAnsiTheme="majorHAnsi" w:cstheme="majorHAnsi"/>
              </w:rPr>
              <w:t xml:space="preserve">: </w:t>
            </w:r>
            <w:r w:rsidR="00FD476F" w:rsidRPr="00943949">
              <w:rPr>
                <w:rFonts w:asciiTheme="majorHAnsi" w:hAnsiTheme="majorHAnsi" w:cstheme="majorHAnsi"/>
              </w:rPr>
              <w:t>Tuval</w:t>
            </w:r>
            <w:r w:rsidRPr="00943949">
              <w:rPr>
                <w:rFonts w:asciiTheme="majorHAnsi" w:hAnsiTheme="majorHAnsi" w:cstheme="majorHAnsi"/>
              </w:rPr>
              <w:t>u</w:t>
            </w:r>
          </w:p>
        </w:tc>
      </w:tr>
      <w:tr w:rsidR="005424AB" w:rsidRPr="00943949" w14:paraId="22AE21FB" w14:textId="77777777" w:rsidTr="00C15D90">
        <w:trPr>
          <w:trHeight w:val="1161"/>
        </w:trPr>
        <w:tc>
          <w:tcPr>
            <w:tcW w:w="1512" w:type="dxa"/>
          </w:tcPr>
          <w:p w14:paraId="518AFB28" w14:textId="0C516B3C" w:rsidR="005424AB" w:rsidRPr="00943949" w:rsidRDefault="00943949" w:rsidP="005424AB">
            <w:pPr>
              <w:rPr>
                <w:rStyle w:val="Heading1Char"/>
                <w:rFonts w:cstheme="majorHAnsi"/>
                <w:sz w:val="22"/>
                <w:szCs w:val="22"/>
                <w:highlight w:val="yellow"/>
                <w:lang w:val="fr-FR"/>
              </w:rPr>
            </w:pPr>
            <w:r w:rsidRPr="00943949">
              <w:rPr>
                <w:rStyle w:val="Heading1Char"/>
                <w:rFonts w:cstheme="majorHAnsi"/>
                <w:sz w:val="22"/>
                <w:szCs w:val="22"/>
                <w:lang w:val="fr-FR"/>
              </w:rPr>
              <w:t>Sources potentielles de financement</w:t>
            </w:r>
          </w:p>
        </w:tc>
        <w:tc>
          <w:tcPr>
            <w:tcW w:w="7504" w:type="dxa"/>
          </w:tcPr>
          <w:p w14:paraId="3BBF2B97" w14:textId="11902B53" w:rsidR="005424AB" w:rsidRPr="00943949" w:rsidRDefault="00943949" w:rsidP="005424AB">
            <w:pPr>
              <w:pStyle w:val="ListParagraph"/>
              <w:numPr>
                <w:ilvl w:val="0"/>
                <w:numId w:val="26"/>
              </w:numPr>
              <w:ind w:left="220" w:hanging="218"/>
              <w:rPr>
                <w:rFonts w:asciiTheme="majorHAnsi" w:hAnsiTheme="majorHAnsi" w:cstheme="majorHAnsi"/>
              </w:rPr>
            </w:pPr>
            <w:r w:rsidRPr="00943949">
              <w:rPr>
                <w:rFonts w:asciiTheme="majorHAnsi" w:hAnsiTheme="majorHAnsi" w:cstheme="majorHAnsi"/>
              </w:rPr>
              <w:t>Inscription</w:t>
            </w:r>
          </w:p>
          <w:p w14:paraId="5823633C" w14:textId="1909FA76" w:rsidR="005424AB" w:rsidRPr="00943949" w:rsidRDefault="00943949" w:rsidP="005424AB">
            <w:pPr>
              <w:pStyle w:val="ListParagraph"/>
              <w:numPr>
                <w:ilvl w:val="0"/>
                <w:numId w:val="26"/>
              </w:numPr>
              <w:ind w:left="220" w:hanging="218"/>
              <w:rPr>
                <w:rFonts w:asciiTheme="majorHAnsi" w:hAnsiTheme="majorHAnsi" w:cstheme="majorHAnsi"/>
              </w:rPr>
            </w:pPr>
            <w:proofErr w:type="spellStart"/>
            <w:r w:rsidRPr="00943949">
              <w:rPr>
                <w:rFonts w:asciiTheme="majorHAnsi" w:hAnsiTheme="majorHAnsi" w:cstheme="majorHAnsi"/>
              </w:rPr>
              <w:t>Parainage</w:t>
            </w:r>
            <w:proofErr w:type="spellEnd"/>
          </w:p>
          <w:p w14:paraId="545778D9" w14:textId="0C92234C" w:rsidR="00AC1545" w:rsidRPr="00943949" w:rsidRDefault="00AC1545" w:rsidP="005424AB">
            <w:pPr>
              <w:pStyle w:val="ListParagraph"/>
              <w:numPr>
                <w:ilvl w:val="0"/>
                <w:numId w:val="26"/>
              </w:numPr>
              <w:ind w:left="220" w:hanging="218"/>
              <w:rPr>
                <w:rFonts w:asciiTheme="majorHAnsi" w:hAnsiTheme="majorHAnsi" w:cstheme="majorHAnsi"/>
                <w:lang w:val="fr-FR"/>
              </w:rPr>
            </w:pPr>
            <w:r w:rsidRPr="00943949">
              <w:rPr>
                <w:rFonts w:asciiTheme="majorHAnsi" w:hAnsiTheme="majorHAnsi" w:cstheme="majorHAnsi"/>
                <w:lang w:val="fr-FR"/>
              </w:rPr>
              <w:t>Projets (J-PRISM</w:t>
            </w:r>
            <w:r w:rsidR="00814645" w:rsidRPr="00943949">
              <w:rPr>
                <w:rFonts w:asciiTheme="majorHAnsi" w:hAnsiTheme="majorHAnsi" w:cstheme="majorHAnsi"/>
                <w:lang w:val="fr-FR"/>
              </w:rPr>
              <w:t xml:space="preserve"> III</w:t>
            </w:r>
            <w:r w:rsidRPr="00943949">
              <w:rPr>
                <w:rFonts w:asciiTheme="majorHAnsi" w:hAnsiTheme="majorHAnsi" w:cstheme="majorHAnsi"/>
                <w:lang w:val="fr-FR"/>
              </w:rPr>
              <w:t xml:space="preserve">, </w:t>
            </w:r>
            <w:proofErr w:type="spellStart"/>
            <w:r w:rsidRPr="00943949">
              <w:rPr>
                <w:rFonts w:asciiTheme="majorHAnsi" w:hAnsiTheme="majorHAnsi" w:cstheme="majorHAnsi"/>
                <w:lang w:val="fr-FR"/>
              </w:rPr>
              <w:t>PacWaste</w:t>
            </w:r>
            <w:proofErr w:type="spellEnd"/>
            <w:r w:rsidRPr="00943949">
              <w:rPr>
                <w:rFonts w:asciiTheme="majorHAnsi" w:hAnsiTheme="majorHAnsi" w:cstheme="majorHAnsi"/>
                <w:lang w:val="fr-FR"/>
              </w:rPr>
              <w:t xml:space="preserve"> Plus, POLP, GEF </w:t>
            </w:r>
            <w:proofErr w:type="spellStart"/>
            <w:r w:rsidRPr="00943949">
              <w:rPr>
                <w:rFonts w:asciiTheme="majorHAnsi" w:hAnsiTheme="majorHAnsi" w:cstheme="majorHAnsi"/>
                <w:lang w:val="fr-FR"/>
              </w:rPr>
              <w:t>Islands</w:t>
            </w:r>
            <w:proofErr w:type="spellEnd"/>
            <w:r w:rsidRPr="00943949">
              <w:rPr>
                <w:rFonts w:asciiTheme="majorHAnsi" w:hAnsiTheme="majorHAnsi" w:cstheme="majorHAnsi"/>
                <w:lang w:val="fr-FR"/>
              </w:rPr>
              <w:t xml:space="preserve">, </w:t>
            </w:r>
            <w:r w:rsidR="004468B4" w:rsidRPr="00943949">
              <w:rPr>
                <w:rFonts w:asciiTheme="majorHAnsi" w:hAnsiTheme="majorHAnsi" w:cstheme="majorHAnsi"/>
                <w:lang w:val="fr-FR"/>
              </w:rPr>
              <w:t>PACPLAN</w:t>
            </w:r>
            <w:r w:rsidR="008D2765" w:rsidRPr="00943949">
              <w:rPr>
                <w:rFonts w:asciiTheme="majorHAnsi" w:hAnsiTheme="majorHAnsi" w:cstheme="majorHAnsi"/>
                <w:lang w:val="fr-FR"/>
              </w:rPr>
              <w:t>, PAWES</w:t>
            </w:r>
            <w:r w:rsidRPr="00943949">
              <w:rPr>
                <w:rFonts w:asciiTheme="majorHAnsi" w:hAnsiTheme="majorHAnsi" w:cstheme="majorHAnsi"/>
                <w:lang w:val="fr-FR"/>
              </w:rPr>
              <w:t xml:space="preserve">) – </w:t>
            </w:r>
            <w:r w:rsidR="00943949" w:rsidRPr="00943949">
              <w:rPr>
                <w:rFonts w:asciiTheme="majorHAnsi" w:hAnsiTheme="majorHAnsi" w:cstheme="majorHAnsi"/>
                <w:lang w:val="fr-FR"/>
              </w:rPr>
              <w:t>pour financer les billets d'avion et les indemnités journalières des pays membres et d'autres parties prenantes identifiées.</w:t>
            </w:r>
          </w:p>
          <w:p w14:paraId="2FF12430" w14:textId="2829BEE6" w:rsidR="00AC1545" w:rsidRPr="00943949" w:rsidRDefault="00AC1545" w:rsidP="005424AB">
            <w:pPr>
              <w:pStyle w:val="ListParagraph"/>
              <w:numPr>
                <w:ilvl w:val="0"/>
                <w:numId w:val="26"/>
              </w:numPr>
              <w:ind w:left="220" w:hanging="218"/>
              <w:rPr>
                <w:rFonts w:asciiTheme="majorHAnsi" w:hAnsiTheme="majorHAnsi" w:cstheme="majorHAnsi"/>
                <w:lang w:val="fr-FR"/>
              </w:rPr>
            </w:pPr>
            <w:r w:rsidRPr="00943949">
              <w:rPr>
                <w:rFonts w:asciiTheme="majorHAnsi" w:hAnsiTheme="majorHAnsi" w:cstheme="majorHAnsi"/>
                <w:lang w:val="fr-FR"/>
              </w:rPr>
              <w:t>Fonds Pacifique</w:t>
            </w:r>
            <w:r w:rsidR="009C56C5" w:rsidRPr="00943949">
              <w:rPr>
                <w:rFonts w:asciiTheme="majorHAnsi" w:hAnsiTheme="majorHAnsi" w:cstheme="majorHAnsi"/>
                <w:lang w:val="fr-FR"/>
              </w:rPr>
              <w:t xml:space="preserve"> </w:t>
            </w:r>
            <w:r w:rsidRPr="00943949">
              <w:rPr>
                <w:rFonts w:asciiTheme="majorHAnsi" w:hAnsiTheme="majorHAnsi" w:cstheme="majorHAnsi"/>
                <w:lang w:val="fr-FR"/>
              </w:rPr>
              <w:t xml:space="preserve">– </w:t>
            </w:r>
            <w:r w:rsidR="00943949" w:rsidRPr="00943949">
              <w:rPr>
                <w:rFonts w:asciiTheme="majorHAnsi" w:hAnsiTheme="majorHAnsi" w:cstheme="majorHAnsi"/>
                <w:lang w:val="fr-FR"/>
              </w:rPr>
              <w:t>billets d'avion et indemnités journalières des participants des territoires français et des interprètes.</w:t>
            </w:r>
          </w:p>
          <w:p w14:paraId="2ACE7211" w14:textId="3991868D" w:rsidR="00AC1545" w:rsidRPr="00943949" w:rsidRDefault="00943949" w:rsidP="005424AB">
            <w:pPr>
              <w:pStyle w:val="ListParagraph"/>
              <w:numPr>
                <w:ilvl w:val="0"/>
                <w:numId w:val="26"/>
              </w:numPr>
              <w:ind w:left="220" w:hanging="218"/>
              <w:rPr>
                <w:rFonts w:asciiTheme="majorHAnsi" w:hAnsiTheme="majorHAnsi" w:cstheme="majorHAnsi"/>
                <w:lang w:val="fr-FR"/>
              </w:rPr>
            </w:pPr>
            <w:r w:rsidRPr="00943949">
              <w:rPr>
                <w:rFonts w:asciiTheme="majorHAnsi" w:hAnsiTheme="majorHAnsi" w:cstheme="majorHAnsi"/>
                <w:lang w:val="fr-FR"/>
              </w:rPr>
              <w:t xml:space="preserve">PROE </w:t>
            </w:r>
            <w:r w:rsidR="00AC1545" w:rsidRPr="00943949">
              <w:rPr>
                <w:rFonts w:asciiTheme="majorHAnsi" w:hAnsiTheme="majorHAnsi" w:cstheme="majorHAnsi"/>
                <w:lang w:val="fr-FR"/>
              </w:rPr>
              <w:t xml:space="preserve">– </w:t>
            </w:r>
            <w:r w:rsidRPr="00943949">
              <w:rPr>
                <w:rFonts w:asciiTheme="majorHAnsi" w:hAnsiTheme="majorHAnsi" w:cstheme="majorHAnsi"/>
                <w:lang w:val="fr-FR"/>
              </w:rPr>
              <w:t>repas des participants non financés et autres aspects logistiques.</w:t>
            </w:r>
          </w:p>
          <w:p w14:paraId="66B6332D" w14:textId="77777777" w:rsidR="0006739D" w:rsidRPr="00943949" w:rsidRDefault="0006739D" w:rsidP="0006739D">
            <w:pPr>
              <w:rPr>
                <w:rFonts w:asciiTheme="majorHAnsi" w:hAnsiTheme="majorHAnsi" w:cstheme="majorHAnsi"/>
                <w:highlight w:val="yellow"/>
                <w:lang w:val="fr-FR"/>
              </w:rPr>
            </w:pPr>
          </w:p>
          <w:p w14:paraId="5BD20246" w14:textId="30FE5D6E" w:rsidR="00943949" w:rsidRPr="00943949" w:rsidRDefault="00943949" w:rsidP="00943949">
            <w:pPr>
              <w:rPr>
                <w:rFonts w:asciiTheme="majorHAnsi" w:hAnsiTheme="majorHAnsi" w:cstheme="majorHAnsi"/>
                <w:highlight w:val="yellow"/>
                <w:lang w:val="fr-FR"/>
              </w:rPr>
            </w:pPr>
            <w:r w:rsidRPr="00943949">
              <w:rPr>
                <w:rFonts w:asciiTheme="majorHAnsi" w:hAnsiTheme="majorHAnsi" w:cstheme="majorHAnsi"/>
                <w:lang w:val="fr-FR"/>
              </w:rPr>
              <w:t>Un budget complet doit être élaboré afin de déterminer les financements existants, les demandes de financement nécessaires et l'élaboration de programmes de parrainage et de participation, le cas échéant.</w:t>
            </w:r>
          </w:p>
        </w:tc>
      </w:tr>
      <w:tr w:rsidR="002970D6" w:rsidRPr="00C8735B" w14:paraId="5815D66B" w14:textId="77777777" w:rsidTr="00C15D90">
        <w:trPr>
          <w:trHeight w:val="333"/>
        </w:trPr>
        <w:tc>
          <w:tcPr>
            <w:tcW w:w="1512" w:type="dxa"/>
          </w:tcPr>
          <w:p w14:paraId="75D35B9E" w14:textId="064D3834" w:rsidR="000E1C2C" w:rsidRPr="00C8735B" w:rsidRDefault="000E1C2C" w:rsidP="000E1C2C">
            <w:pPr>
              <w:rPr>
                <w:rStyle w:val="Heading1Char"/>
                <w:rFonts w:cstheme="majorHAnsi"/>
                <w:sz w:val="22"/>
                <w:szCs w:val="22"/>
                <w:lang w:val="fr-FR"/>
              </w:rPr>
            </w:pPr>
            <w:bookmarkStart w:id="3" w:name="_Toc52972321"/>
            <w:r w:rsidRPr="00C8735B">
              <w:rPr>
                <w:rStyle w:val="Heading1Char"/>
                <w:rFonts w:cstheme="majorHAnsi"/>
                <w:sz w:val="22"/>
                <w:szCs w:val="22"/>
                <w:lang w:val="fr-FR"/>
              </w:rPr>
              <w:t>Th</w:t>
            </w:r>
            <w:bookmarkEnd w:id="3"/>
            <w:r w:rsidR="00C8735B" w:rsidRPr="00C8735B">
              <w:rPr>
                <w:rStyle w:val="Heading1Char"/>
                <w:rFonts w:cstheme="majorHAnsi"/>
                <w:sz w:val="22"/>
                <w:szCs w:val="22"/>
                <w:lang w:val="fr-FR"/>
              </w:rPr>
              <w:t>ématiques</w:t>
            </w:r>
          </w:p>
        </w:tc>
        <w:tc>
          <w:tcPr>
            <w:tcW w:w="7504" w:type="dxa"/>
          </w:tcPr>
          <w:p w14:paraId="30A692A4" w14:textId="7269DEB6" w:rsidR="0006739D" w:rsidRPr="00C8735B" w:rsidRDefault="0006739D" w:rsidP="0006739D">
            <w:pPr>
              <w:rPr>
                <w:rFonts w:asciiTheme="majorHAnsi" w:hAnsiTheme="majorHAnsi" w:cstheme="majorHAnsi"/>
                <w:lang w:val="fr-FR"/>
              </w:rPr>
            </w:pPr>
            <w:r w:rsidRPr="00C8735B">
              <w:rPr>
                <w:rFonts w:asciiTheme="majorHAnsi" w:hAnsiTheme="majorHAnsi" w:cstheme="majorHAnsi"/>
                <w:lang w:val="fr-FR"/>
              </w:rPr>
              <w:t>Th</w:t>
            </w:r>
            <w:r w:rsidR="00C8735B" w:rsidRPr="00C8735B">
              <w:rPr>
                <w:rFonts w:asciiTheme="majorHAnsi" w:hAnsiTheme="majorHAnsi" w:cstheme="majorHAnsi"/>
                <w:lang w:val="fr-FR"/>
              </w:rPr>
              <w:t>ématiques</w:t>
            </w:r>
            <w:r w:rsidR="0020151D">
              <w:rPr>
                <w:rFonts w:asciiTheme="majorHAnsi" w:hAnsiTheme="majorHAnsi" w:cstheme="majorHAnsi"/>
                <w:lang w:val="fr-FR"/>
              </w:rPr>
              <w:t xml:space="preserve"> </w:t>
            </w:r>
            <w:r w:rsidRPr="00C8735B">
              <w:rPr>
                <w:rFonts w:asciiTheme="majorHAnsi" w:hAnsiTheme="majorHAnsi" w:cstheme="majorHAnsi"/>
                <w:lang w:val="fr-FR"/>
              </w:rPr>
              <w:t>:</w:t>
            </w:r>
          </w:p>
          <w:p w14:paraId="7D7A8465" w14:textId="77777777" w:rsidR="00C8735B" w:rsidRPr="00C8735B" w:rsidRDefault="00C8735B" w:rsidP="00C8735B">
            <w:pPr>
              <w:pStyle w:val="ListParagraph"/>
              <w:numPr>
                <w:ilvl w:val="0"/>
                <w:numId w:val="47"/>
              </w:numPr>
              <w:rPr>
                <w:rFonts w:asciiTheme="majorHAnsi" w:hAnsiTheme="majorHAnsi" w:cstheme="majorHAnsi"/>
                <w:lang w:val="fr-FR"/>
              </w:rPr>
            </w:pPr>
            <w:r w:rsidRPr="00C8735B">
              <w:rPr>
                <w:rFonts w:asciiTheme="majorHAnsi" w:hAnsiTheme="majorHAnsi" w:cstheme="majorHAnsi"/>
                <w:lang w:val="fr-FR"/>
              </w:rPr>
              <w:t>Économie circulaire</w:t>
            </w:r>
          </w:p>
          <w:p w14:paraId="6036079B" w14:textId="3CD3FD3C" w:rsidR="00C8735B" w:rsidRPr="00C8735B" w:rsidRDefault="00C8735B" w:rsidP="00C8735B">
            <w:pPr>
              <w:pStyle w:val="ListParagraph"/>
              <w:numPr>
                <w:ilvl w:val="0"/>
                <w:numId w:val="47"/>
              </w:numPr>
              <w:rPr>
                <w:rFonts w:asciiTheme="majorHAnsi" w:hAnsiTheme="majorHAnsi" w:cstheme="majorHAnsi"/>
                <w:lang w:val="fr-FR"/>
              </w:rPr>
            </w:pPr>
            <w:r w:rsidRPr="00C8735B">
              <w:rPr>
                <w:rFonts w:asciiTheme="majorHAnsi" w:hAnsiTheme="majorHAnsi" w:cstheme="majorHAnsi"/>
                <w:lang w:val="fr-FR"/>
              </w:rPr>
              <w:t>Contrôle de la pollution</w:t>
            </w:r>
          </w:p>
          <w:p w14:paraId="13CEBB53" w14:textId="3852B237" w:rsidR="00C8735B" w:rsidRPr="00C8735B" w:rsidRDefault="00C8735B" w:rsidP="00C8735B">
            <w:pPr>
              <w:pStyle w:val="ListParagraph"/>
              <w:numPr>
                <w:ilvl w:val="0"/>
                <w:numId w:val="47"/>
              </w:numPr>
              <w:rPr>
                <w:rFonts w:asciiTheme="majorHAnsi" w:hAnsiTheme="majorHAnsi" w:cstheme="majorHAnsi"/>
                <w:lang w:val="fr-FR"/>
              </w:rPr>
            </w:pPr>
            <w:r w:rsidRPr="00C8735B">
              <w:rPr>
                <w:rFonts w:asciiTheme="majorHAnsi" w:hAnsiTheme="majorHAnsi" w:cstheme="majorHAnsi"/>
                <w:lang w:val="fr-FR"/>
              </w:rPr>
              <w:t>Déchets dangereux</w:t>
            </w:r>
          </w:p>
          <w:p w14:paraId="7CF515D9" w14:textId="247E0AA8" w:rsidR="00C8735B" w:rsidRPr="00C8735B" w:rsidRDefault="00C8735B" w:rsidP="00C8735B">
            <w:pPr>
              <w:pStyle w:val="ListParagraph"/>
              <w:numPr>
                <w:ilvl w:val="0"/>
                <w:numId w:val="47"/>
              </w:numPr>
              <w:rPr>
                <w:rFonts w:asciiTheme="majorHAnsi" w:hAnsiTheme="majorHAnsi" w:cstheme="majorHAnsi"/>
                <w:lang w:val="fr-FR"/>
              </w:rPr>
            </w:pPr>
            <w:r w:rsidRPr="00C8735B">
              <w:rPr>
                <w:rFonts w:asciiTheme="majorHAnsi" w:hAnsiTheme="majorHAnsi" w:cstheme="majorHAnsi"/>
                <w:lang w:val="fr-FR"/>
              </w:rPr>
              <w:t>Véhicules hors d'usage (VHU)</w:t>
            </w:r>
          </w:p>
          <w:p w14:paraId="61541699" w14:textId="71E4EA0C" w:rsidR="00C8735B" w:rsidRPr="00C8735B" w:rsidRDefault="00C8735B" w:rsidP="00C8735B">
            <w:pPr>
              <w:pStyle w:val="ListParagraph"/>
              <w:numPr>
                <w:ilvl w:val="0"/>
                <w:numId w:val="47"/>
              </w:numPr>
              <w:rPr>
                <w:rFonts w:asciiTheme="majorHAnsi" w:hAnsiTheme="majorHAnsi" w:cstheme="majorHAnsi"/>
                <w:lang w:val="fr-FR"/>
              </w:rPr>
            </w:pPr>
            <w:proofErr w:type="spellStart"/>
            <w:r w:rsidRPr="00C8735B">
              <w:rPr>
                <w:rFonts w:asciiTheme="majorHAnsi" w:hAnsiTheme="majorHAnsi" w:cstheme="majorHAnsi"/>
                <w:lang w:val="fr-FR"/>
              </w:rPr>
              <w:t>Dialogque</w:t>
            </w:r>
            <w:proofErr w:type="spellEnd"/>
            <w:r w:rsidRPr="00C8735B">
              <w:rPr>
                <w:rFonts w:asciiTheme="majorHAnsi" w:hAnsiTheme="majorHAnsi" w:cstheme="majorHAnsi"/>
                <w:lang w:val="fr-FR"/>
              </w:rPr>
              <w:t xml:space="preserve"> sur le</w:t>
            </w:r>
            <w:r w:rsidRPr="00C8735B">
              <w:rPr>
                <w:rFonts w:asciiTheme="majorHAnsi" w:hAnsiTheme="majorHAnsi" w:cstheme="majorHAnsi"/>
                <w:lang w:val="fr-FR"/>
              </w:rPr>
              <w:t xml:space="preserve"> plastique</w:t>
            </w:r>
          </w:p>
          <w:p w14:paraId="71F3D3A8" w14:textId="44ED10D8" w:rsidR="00C8735B" w:rsidRPr="00C8735B" w:rsidRDefault="00C8735B" w:rsidP="00C8735B">
            <w:pPr>
              <w:pStyle w:val="ListParagraph"/>
              <w:numPr>
                <w:ilvl w:val="0"/>
                <w:numId w:val="47"/>
              </w:numPr>
              <w:rPr>
                <w:rFonts w:asciiTheme="majorHAnsi" w:hAnsiTheme="majorHAnsi" w:cstheme="majorHAnsi"/>
                <w:lang w:val="fr-FR"/>
              </w:rPr>
            </w:pPr>
            <w:r w:rsidRPr="00C8735B">
              <w:rPr>
                <w:rFonts w:asciiTheme="majorHAnsi" w:hAnsiTheme="majorHAnsi" w:cstheme="majorHAnsi"/>
                <w:lang w:val="fr-FR"/>
              </w:rPr>
              <w:t xml:space="preserve">Déchets </w:t>
            </w:r>
            <w:r w:rsidRPr="00C8735B">
              <w:rPr>
                <w:rFonts w:asciiTheme="majorHAnsi" w:hAnsiTheme="majorHAnsi" w:cstheme="majorHAnsi"/>
                <w:lang w:val="fr-FR"/>
              </w:rPr>
              <w:t xml:space="preserve">issus </w:t>
            </w:r>
            <w:r w:rsidRPr="00C8735B">
              <w:rPr>
                <w:rFonts w:asciiTheme="majorHAnsi" w:hAnsiTheme="majorHAnsi" w:cstheme="majorHAnsi"/>
                <w:lang w:val="fr-FR"/>
              </w:rPr>
              <w:t>de</w:t>
            </w:r>
            <w:r w:rsidRPr="00C8735B">
              <w:rPr>
                <w:rFonts w:asciiTheme="majorHAnsi" w:hAnsiTheme="majorHAnsi" w:cstheme="majorHAnsi"/>
                <w:lang w:val="fr-FR"/>
              </w:rPr>
              <w:t xml:space="preserve"> </w:t>
            </w:r>
            <w:r w:rsidRPr="00C8735B">
              <w:rPr>
                <w:rFonts w:asciiTheme="majorHAnsi" w:hAnsiTheme="majorHAnsi" w:cstheme="majorHAnsi"/>
                <w:lang w:val="fr-FR"/>
              </w:rPr>
              <w:t xml:space="preserve">catastrophe </w:t>
            </w:r>
          </w:p>
          <w:p w14:paraId="486EA752" w14:textId="4431EB96" w:rsidR="00330C8A" w:rsidRPr="00C8735B" w:rsidRDefault="00C8735B" w:rsidP="00C8735B">
            <w:pPr>
              <w:pStyle w:val="ListParagraph"/>
              <w:numPr>
                <w:ilvl w:val="0"/>
                <w:numId w:val="47"/>
              </w:numPr>
              <w:rPr>
                <w:rFonts w:asciiTheme="majorHAnsi" w:hAnsiTheme="majorHAnsi" w:cstheme="majorHAnsi"/>
                <w:lang w:val="fr-FR"/>
              </w:rPr>
            </w:pPr>
            <w:r w:rsidRPr="00C8735B">
              <w:rPr>
                <w:rFonts w:asciiTheme="majorHAnsi" w:hAnsiTheme="majorHAnsi" w:cstheme="majorHAnsi"/>
                <w:lang w:val="fr-FR"/>
              </w:rPr>
              <w:t>Des déchets à l'énergie</w:t>
            </w:r>
          </w:p>
        </w:tc>
      </w:tr>
      <w:tr w:rsidR="006614F7" w:rsidRPr="00C8735B" w14:paraId="3AAAA68C" w14:textId="77777777" w:rsidTr="00C15D90">
        <w:trPr>
          <w:trHeight w:val="981"/>
        </w:trPr>
        <w:tc>
          <w:tcPr>
            <w:tcW w:w="1512" w:type="dxa"/>
          </w:tcPr>
          <w:p w14:paraId="232965AD" w14:textId="32B54A46" w:rsidR="000E1C2C" w:rsidRPr="0020151D" w:rsidRDefault="00C8735B" w:rsidP="000E1C2C">
            <w:pPr>
              <w:rPr>
                <w:rStyle w:val="Heading1Char"/>
                <w:rFonts w:cstheme="majorHAnsi"/>
                <w:sz w:val="22"/>
                <w:szCs w:val="22"/>
                <w:lang w:val="fr-FR"/>
              </w:rPr>
            </w:pPr>
            <w:r w:rsidRPr="0020151D">
              <w:rPr>
                <w:rStyle w:val="Heading1Char"/>
                <w:sz w:val="22"/>
                <w:szCs w:val="22"/>
                <w:lang w:val="fr-FR"/>
              </w:rPr>
              <w:t>Participation en présentielle</w:t>
            </w:r>
          </w:p>
        </w:tc>
        <w:tc>
          <w:tcPr>
            <w:tcW w:w="7504" w:type="dxa"/>
          </w:tcPr>
          <w:p w14:paraId="062E561F" w14:textId="7A3869F1" w:rsidR="000E1C2C" w:rsidRPr="00C8735B" w:rsidRDefault="00C8735B" w:rsidP="00543674">
            <w:pPr>
              <w:rPr>
                <w:rFonts w:asciiTheme="majorHAnsi" w:hAnsiTheme="majorHAnsi" w:cstheme="majorHAnsi"/>
                <w:lang w:val="fr-FR"/>
              </w:rPr>
            </w:pPr>
            <w:r w:rsidRPr="00C8735B">
              <w:rPr>
                <w:rFonts w:asciiTheme="majorHAnsi" w:hAnsiTheme="majorHAnsi" w:cstheme="majorHAnsi"/>
                <w:lang w:val="fr-FR"/>
              </w:rPr>
              <w:t xml:space="preserve">La 4ème </w:t>
            </w:r>
            <w:r w:rsidRPr="00C8735B">
              <w:rPr>
                <w:rFonts w:asciiTheme="majorHAnsi" w:hAnsiTheme="majorHAnsi" w:cstheme="majorHAnsi"/>
                <w:lang w:val="fr-FR"/>
              </w:rPr>
              <w:t>table ronde pour un Pacifique Propre</w:t>
            </w:r>
            <w:r w:rsidRPr="00C8735B">
              <w:rPr>
                <w:rFonts w:asciiTheme="majorHAnsi" w:hAnsiTheme="majorHAnsi" w:cstheme="majorHAnsi"/>
                <w:lang w:val="fr-FR"/>
              </w:rPr>
              <w:t xml:space="preserve"> se tiendra </w:t>
            </w:r>
            <w:r w:rsidRPr="00C8735B">
              <w:rPr>
                <w:rFonts w:asciiTheme="majorHAnsi" w:hAnsiTheme="majorHAnsi" w:cstheme="majorHAnsi"/>
                <w:lang w:val="fr-FR"/>
              </w:rPr>
              <w:t>en présentiel</w:t>
            </w:r>
            <w:r w:rsidRPr="00C8735B">
              <w:rPr>
                <w:rFonts w:asciiTheme="majorHAnsi" w:hAnsiTheme="majorHAnsi" w:cstheme="majorHAnsi"/>
                <w:lang w:val="fr-FR"/>
              </w:rPr>
              <w:t xml:space="preserve"> à Tuvalu et toutes les sessions se dérouleront en face à face.</w:t>
            </w:r>
          </w:p>
        </w:tc>
      </w:tr>
      <w:tr w:rsidR="002970D6" w:rsidRPr="0020151D" w14:paraId="19E39D95" w14:textId="77777777" w:rsidTr="00C15D90">
        <w:trPr>
          <w:trHeight w:val="611"/>
        </w:trPr>
        <w:tc>
          <w:tcPr>
            <w:tcW w:w="1512" w:type="dxa"/>
            <w:vMerge w:val="restart"/>
          </w:tcPr>
          <w:p w14:paraId="58855381" w14:textId="554CCF45" w:rsidR="002970D6" w:rsidRPr="0020151D" w:rsidRDefault="002970D6" w:rsidP="000E1C2C">
            <w:pPr>
              <w:rPr>
                <w:rStyle w:val="Heading1Char"/>
                <w:rFonts w:cstheme="majorHAnsi"/>
                <w:sz w:val="22"/>
                <w:szCs w:val="22"/>
              </w:rPr>
            </w:pPr>
            <w:bookmarkStart w:id="4" w:name="_Toc52972324"/>
            <w:r w:rsidRPr="0020151D">
              <w:rPr>
                <w:rStyle w:val="Heading1Char"/>
                <w:sz w:val="22"/>
                <w:szCs w:val="22"/>
              </w:rPr>
              <w:t>Engagement</w:t>
            </w:r>
            <w:bookmarkEnd w:id="4"/>
            <w:r w:rsidR="0020151D" w:rsidRPr="0020151D">
              <w:rPr>
                <w:rStyle w:val="Heading1Char"/>
                <w:sz w:val="22"/>
                <w:szCs w:val="22"/>
              </w:rPr>
              <w:t xml:space="preserve"> des participants</w:t>
            </w:r>
          </w:p>
        </w:tc>
        <w:tc>
          <w:tcPr>
            <w:tcW w:w="7504" w:type="dxa"/>
          </w:tcPr>
          <w:p w14:paraId="2C3663C1" w14:textId="4B7D851E" w:rsidR="002970D6" w:rsidRPr="0020151D" w:rsidRDefault="0020151D" w:rsidP="006614F7">
            <w:pPr>
              <w:rPr>
                <w:rFonts w:asciiTheme="majorHAnsi" w:hAnsiTheme="majorHAnsi" w:cstheme="majorHAnsi"/>
                <w:lang w:val="fr-FR"/>
              </w:rPr>
            </w:pPr>
            <w:r w:rsidRPr="0020151D">
              <w:rPr>
                <w:rFonts w:asciiTheme="majorHAnsi" w:hAnsiTheme="majorHAnsi" w:cstheme="majorHAnsi"/>
                <w:lang w:val="fr-FR"/>
              </w:rPr>
              <w:t>Chaque session sera conçue pour entendre les pays, les industries, les institutions, les communautés et les projets afin d'explorer pleinement</w:t>
            </w:r>
            <w:r w:rsidRPr="0020151D">
              <w:rPr>
                <w:rFonts w:asciiTheme="majorHAnsi" w:hAnsiTheme="majorHAnsi" w:cstheme="majorHAnsi"/>
                <w:lang w:val="fr-FR"/>
              </w:rPr>
              <w:t xml:space="preserve"> </w:t>
            </w:r>
            <w:r w:rsidR="0006739D" w:rsidRPr="0020151D">
              <w:rPr>
                <w:rFonts w:asciiTheme="majorHAnsi" w:hAnsiTheme="majorHAnsi" w:cstheme="majorHAnsi"/>
                <w:lang w:val="fr-FR"/>
              </w:rPr>
              <w:t>:</w:t>
            </w:r>
          </w:p>
          <w:p w14:paraId="454F66E4" w14:textId="152A86C8" w:rsidR="0020151D" w:rsidRPr="0020151D" w:rsidRDefault="0020151D" w:rsidP="00045805">
            <w:pPr>
              <w:pStyle w:val="ListParagraph"/>
              <w:numPr>
                <w:ilvl w:val="0"/>
                <w:numId w:val="48"/>
              </w:numPr>
              <w:rPr>
                <w:rFonts w:asciiTheme="majorHAnsi" w:hAnsiTheme="majorHAnsi" w:cstheme="majorHAnsi"/>
                <w:lang w:val="fr-FR"/>
              </w:rPr>
            </w:pPr>
            <w:r w:rsidRPr="0020151D">
              <w:rPr>
                <w:rFonts w:asciiTheme="majorHAnsi" w:hAnsiTheme="majorHAnsi" w:cstheme="majorHAnsi"/>
                <w:lang w:val="fr-FR"/>
              </w:rPr>
              <w:t>Les problèmes auxquels le Pacifique est confronté (tels qu'ils sont énoncés dans la Stratégie « pour une Pacifique plus propre en 20</w:t>
            </w:r>
            <w:r w:rsidRPr="0020151D">
              <w:rPr>
                <w:rFonts w:asciiTheme="majorHAnsi" w:hAnsiTheme="majorHAnsi" w:cstheme="majorHAnsi"/>
                <w:lang w:val="fr-FR"/>
              </w:rPr>
              <w:t>2</w:t>
            </w:r>
            <w:r w:rsidRPr="0020151D">
              <w:rPr>
                <w:rFonts w:asciiTheme="majorHAnsi" w:hAnsiTheme="majorHAnsi" w:cstheme="majorHAnsi"/>
                <w:lang w:val="fr-FR"/>
              </w:rPr>
              <w:t>5 »)</w:t>
            </w:r>
          </w:p>
          <w:p w14:paraId="122B1C43" w14:textId="50960C0B" w:rsidR="0020151D" w:rsidRPr="0020151D" w:rsidRDefault="0020151D" w:rsidP="0020151D">
            <w:pPr>
              <w:pStyle w:val="ListParagraph"/>
              <w:numPr>
                <w:ilvl w:val="0"/>
                <w:numId w:val="48"/>
              </w:numPr>
              <w:rPr>
                <w:rFonts w:asciiTheme="majorHAnsi" w:hAnsiTheme="majorHAnsi" w:cstheme="majorHAnsi"/>
                <w:lang w:val="fr-FR"/>
              </w:rPr>
            </w:pPr>
            <w:r w:rsidRPr="0020151D">
              <w:rPr>
                <w:rFonts w:asciiTheme="majorHAnsi" w:hAnsiTheme="majorHAnsi" w:cstheme="majorHAnsi"/>
                <w:lang w:val="fr-FR"/>
              </w:rPr>
              <w:t>Les actions entreprises ou en cours pour résoudre le problème</w:t>
            </w:r>
          </w:p>
          <w:p w14:paraId="522CFD33" w14:textId="17BCC97E" w:rsidR="0006739D" w:rsidRPr="0020151D" w:rsidRDefault="0020151D" w:rsidP="0020151D">
            <w:pPr>
              <w:ind w:left="720"/>
              <w:rPr>
                <w:rFonts w:asciiTheme="majorHAnsi" w:hAnsiTheme="majorHAnsi" w:cstheme="majorHAnsi"/>
                <w:highlight w:val="yellow"/>
                <w:lang w:val="fr-FR"/>
              </w:rPr>
            </w:pPr>
            <w:r w:rsidRPr="0020151D">
              <w:rPr>
                <w:rFonts w:asciiTheme="majorHAnsi" w:hAnsiTheme="majorHAnsi" w:cstheme="majorHAnsi"/>
                <w:lang w:val="fr-FR"/>
              </w:rPr>
              <w:t>Les défis restant à relever pour gérer efficacement le problème</w:t>
            </w:r>
          </w:p>
          <w:p w14:paraId="64B34AE4" w14:textId="77777777" w:rsidR="0020151D" w:rsidRPr="0020151D" w:rsidRDefault="0020151D" w:rsidP="0020151D">
            <w:pPr>
              <w:ind w:left="720"/>
              <w:rPr>
                <w:rFonts w:asciiTheme="majorHAnsi" w:hAnsiTheme="majorHAnsi" w:cstheme="majorHAnsi"/>
                <w:highlight w:val="yellow"/>
                <w:lang w:val="fr-FR"/>
              </w:rPr>
            </w:pPr>
          </w:p>
          <w:p w14:paraId="0DE15E19" w14:textId="3997B01F" w:rsidR="0006739D" w:rsidRPr="0020151D" w:rsidRDefault="0020151D" w:rsidP="0006739D">
            <w:pPr>
              <w:rPr>
                <w:rFonts w:asciiTheme="majorHAnsi" w:hAnsiTheme="majorHAnsi" w:cstheme="majorHAnsi"/>
                <w:b/>
                <w:bCs/>
                <w:highlight w:val="yellow"/>
                <w:lang w:val="fr-FR"/>
              </w:rPr>
            </w:pPr>
            <w:r w:rsidRPr="0020151D">
              <w:rPr>
                <w:rFonts w:asciiTheme="majorHAnsi" w:hAnsiTheme="majorHAnsi" w:cstheme="majorHAnsi"/>
                <w:lang w:val="fr-FR"/>
              </w:rPr>
              <w:t xml:space="preserve">La session vise à présenter les bons travaux entrepris et à fournir une occasion de discussion intégrée entre les </w:t>
            </w:r>
            <w:r>
              <w:rPr>
                <w:rFonts w:asciiTheme="majorHAnsi" w:hAnsiTheme="majorHAnsi" w:cstheme="majorHAnsi"/>
                <w:lang w:val="fr-FR"/>
              </w:rPr>
              <w:t xml:space="preserve">différents </w:t>
            </w:r>
            <w:r w:rsidRPr="0020151D">
              <w:rPr>
                <w:rFonts w:asciiTheme="majorHAnsi" w:hAnsiTheme="majorHAnsi" w:cstheme="majorHAnsi"/>
                <w:lang w:val="fr-FR"/>
              </w:rPr>
              <w:t xml:space="preserve">secteurs afin de faciliter les partenariats, de fournir des résultats et des opportunités et d'apporter une contribution aux sessions </w:t>
            </w:r>
            <w:r>
              <w:rPr>
                <w:rFonts w:asciiTheme="majorHAnsi" w:hAnsiTheme="majorHAnsi" w:cstheme="majorHAnsi"/>
                <w:lang w:val="fr-FR"/>
              </w:rPr>
              <w:t>de la table ronde</w:t>
            </w:r>
            <w:r w:rsidRPr="0020151D">
              <w:rPr>
                <w:rFonts w:asciiTheme="majorHAnsi" w:hAnsiTheme="majorHAnsi" w:cstheme="majorHAnsi"/>
                <w:lang w:val="fr-FR"/>
              </w:rPr>
              <w:t>, aux besoins</w:t>
            </w:r>
            <w:r>
              <w:rPr>
                <w:rFonts w:asciiTheme="majorHAnsi" w:hAnsiTheme="majorHAnsi" w:cstheme="majorHAnsi"/>
                <w:lang w:val="fr-FR"/>
              </w:rPr>
              <w:t xml:space="preserve"> de</w:t>
            </w:r>
            <w:r w:rsidRPr="0020151D">
              <w:rPr>
                <w:rFonts w:asciiTheme="majorHAnsi" w:hAnsiTheme="majorHAnsi" w:cstheme="majorHAnsi"/>
                <w:lang w:val="fr-FR"/>
              </w:rPr>
              <w:t xml:space="preserve"> la Stratégie « pour une Pacifique plus propre en 20</w:t>
            </w:r>
            <w:r>
              <w:rPr>
                <w:rFonts w:asciiTheme="majorHAnsi" w:hAnsiTheme="majorHAnsi" w:cstheme="majorHAnsi"/>
                <w:lang w:val="fr-FR"/>
              </w:rPr>
              <w:t>3</w:t>
            </w:r>
            <w:r w:rsidRPr="0020151D">
              <w:rPr>
                <w:rFonts w:asciiTheme="majorHAnsi" w:hAnsiTheme="majorHAnsi" w:cstheme="majorHAnsi"/>
                <w:lang w:val="fr-FR"/>
              </w:rPr>
              <w:t xml:space="preserve">5 », et d'informer les </w:t>
            </w:r>
            <w:r>
              <w:rPr>
                <w:rFonts w:asciiTheme="majorHAnsi" w:hAnsiTheme="majorHAnsi" w:cstheme="majorHAnsi"/>
                <w:lang w:val="fr-FR"/>
              </w:rPr>
              <w:t>bailleurs de fonds</w:t>
            </w:r>
            <w:r w:rsidRPr="0020151D">
              <w:rPr>
                <w:rFonts w:asciiTheme="majorHAnsi" w:hAnsiTheme="majorHAnsi" w:cstheme="majorHAnsi"/>
                <w:lang w:val="fr-FR"/>
              </w:rPr>
              <w:t xml:space="preserve"> et les partenaires d</w:t>
            </w:r>
            <w:r>
              <w:rPr>
                <w:rFonts w:asciiTheme="majorHAnsi" w:hAnsiTheme="majorHAnsi" w:cstheme="majorHAnsi"/>
                <w:lang w:val="fr-FR"/>
              </w:rPr>
              <w:t>u</w:t>
            </w:r>
            <w:r w:rsidRPr="0020151D">
              <w:rPr>
                <w:rFonts w:asciiTheme="majorHAnsi" w:hAnsiTheme="majorHAnsi" w:cstheme="majorHAnsi"/>
                <w:lang w:val="fr-FR"/>
              </w:rPr>
              <w:t xml:space="preserve"> développement sur les domaines où ils pourraient concentrer leur soutien futur.</w:t>
            </w:r>
          </w:p>
        </w:tc>
      </w:tr>
      <w:tr w:rsidR="002970D6" w:rsidRPr="0020151D" w14:paraId="4CB67724" w14:textId="77777777" w:rsidTr="00C15D90">
        <w:trPr>
          <w:trHeight w:val="954"/>
        </w:trPr>
        <w:tc>
          <w:tcPr>
            <w:tcW w:w="1512" w:type="dxa"/>
            <w:vMerge/>
          </w:tcPr>
          <w:p w14:paraId="3B426F30" w14:textId="77777777" w:rsidR="002970D6" w:rsidRPr="0020151D" w:rsidRDefault="002970D6" w:rsidP="000E1C2C">
            <w:pPr>
              <w:rPr>
                <w:rStyle w:val="Heading1Char"/>
                <w:rFonts w:cstheme="majorHAnsi"/>
                <w:sz w:val="22"/>
                <w:szCs w:val="22"/>
                <w:highlight w:val="yellow"/>
                <w:lang w:val="fr-FR"/>
              </w:rPr>
            </w:pPr>
          </w:p>
        </w:tc>
        <w:tc>
          <w:tcPr>
            <w:tcW w:w="7504" w:type="dxa"/>
          </w:tcPr>
          <w:p w14:paraId="7EB04E3D" w14:textId="4457195D" w:rsidR="002970D6" w:rsidRPr="0020151D" w:rsidRDefault="0020151D" w:rsidP="00C15D90">
            <w:pPr>
              <w:rPr>
                <w:rFonts w:asciiTheme="majorHAnsi" w:hAnsiTheme="majorHAnsi" w:cstheme="majorHAnsi"/>
                <w:highlight w:val="yellow"/>
                <w:lang w:val="fr-FR"/>
              </w:rPr>
            </w:pPr>
            <w:r w:rsidRPr="0020151D">
              <w:rPr>
                <w:rFonts w:asciiTheme="majorHAnsi" w:hAnsiTheme="majorHAnsi" w:cstheme="majorHAnsi"/>
                <w:lang w:val="fr-FR"/>
              </w:rPr>
              <w:t>L'événement sera promu à travers les médias sociaux, où le public sera informé à l'avance des détails de la table ronde, y compris les principaux messages autour de la valeur de la table ronde et de la logistique.</w:t>
            </w:r>
          </w:p>
        </w:tc>
      </w:tr>
      <w:tr w:rsidR="002970D6" w:rsidRPr="008D539E" w14:paraId="3A12996A" w14:textId="77777777" w:rsidTr="00C15D90">
        <w:trPr>
          <w:trHeight w:val="651"/>
        </w:trPr>
        <w:tc>
          <w:tcPr>
            <w:tcW w:w="1512" w:type="dxa"/>
            <w:vMerge/>
          </w:tcPr>
          <w:p w14:paraId="73216B84" w14:textId="77777777" w:rsidR="002970D6" w:rsidRPr="0020151D" w:rsidRDefault="002970D6" w:rsidP="000E1C2C">
            <w:pPr>
              <w:rPr>
                <w:rStyle w:val="Heading1Char"/>
                <w:rFonts w:cstheme="majorHAnsi"/>
                <w:sz w:val="22"/>
                <w:szCs w:val="22"/>
                <w:highlight w:val="yellow"/>
                <w:lang w:val="fr-FR"/>
              </w:rPr>
            </w:pPr>
          </w:p>
        </w:tc>
        <w:tc>
          <w:tcPr>
            <w:tcW w:w="7504" w:type="dxa"/>
          </w:tcPr>
          <w:p w14:paraId="6426A847" w14:textId="0D393357" w:rsidR="002970D6" w:rsidRPr="008D539E" w:rsidRDefault="008D539E" w:rsidP="008D539E">
            <w:pPr>
              <w:ind w:right="-13"/>
              <w:rPr>
                <w:rFonts w:asciiTheme="majorHAnsi" w:hAnsiTheme="majorHAnsi" w:cstheme="majorHAnsi"/>
                <w:highlight w:val="yellow"/>
                <w:lang w:val="fr-FR"/>
              </w:rPr>
            </w:pPr>
            <w:r w:rsidRPr="008D539E">
              <w:rPr>
                <w:rFonts w:asciiTheme="majorHAnsi" w:hAnsiTheme="majorHAnsi" w:cstheme="majorHAnsi"/>
                <w:lang w:val="fr-FR"/>
              </w:rPr>
              <w:t>Les participants seront également invités à donner leur avis sur les</w:t>
            </w:r>
            <w:r>
              <w:rPr>
                <w:rFonts w:asciiTheme="majorHAnsi" w:hAnsiTheme="majorHAnsi" w:cstheme="majorHAnsi"/>
                <w:lang w:val="fr-FR"/>
              </w:rPr>
              <w:t xml:space="preserve"> </w:t>
            </w:r>
            <w:r w:rsidRPr="008D539E">
              <w:rPr>
                <w:rFonts w:asciiTheme="majorHAnsi" w:hAnsiTheme="majorHAnsi" w:cstheme="majorHAnsi"/>
                <w:lang w:val="fr-FR"/>
              </w:rPr>
              <w:t>résultats de la table ronde.</w:t>
            </w:r>
          </w:p>
        </w:tc>
      </w:tr>
      <w:tr w:rsidR="006614F7" w:rsidRPr="008D539E" w14:paraId="1DD7FA31" w14:textId="77777777" w:rsidTr="00C15D90">
        <w:trPr>
          <w:trHeight w:val="274"/>
        </w:trPr>
        <w:tc>
          <w:tcPr>
            <w:tcW w:w="1512" w:type="dxa"/>
          </w:tcPr>
          <w:p w14:paraId="7084913D" w14:textId="35F9D876" w:rsidR="006614F7" w:rsidRPr="008D539E" w:rsidRDefault="008D539E" w:rsidP="000E1C2C">
            <w:pPr>
              <w:rPr>
                <w:rStyle w:val="Heading1Char"/>
                <w:rFonts w:cstheme="majorHAnsi"/>
                <w:sz w:val="22"/>
                <w:szCs w:val="22"/>
                <w:lang w:val="fr-FR"/>
              </w:rPr>
            </w:pPr>
            <w:r w:rsidRPr="008D539E">
              <w:rPr>
                <w:rStyle w:val="Heading1Char"/>
                <w:rFonts w:cstheme="majorHAnsi"/>
                <w:sz w:val="22"/>
                <w:szCs w:val="22"/>
                <w:lang w:val="fr-FR"/>
              </w:rPr>
              <w:t>Modalités</w:t>
            </w:r>
            <w:r w:rsidRPr="008D539E">
              <w:rPr>
                <w:rStyle w:val="Heading1Char"/>
                <w:rFonts w:cstheme="majorHAnsi"/>
                <w:sz w:val="22"/>
                <w:szCs w:val="22"/>
                <w:lang w:val="fr-FR"/>
              </w:rPr>
              <w:t xml:space="preserve"> visant à renforcer l'engagement</w:t>
            </w:r>
          </w:p>
        </w:tc>
        <w:tc>
          <w:tcPr>
            <w:tcW w:w="7504" w:type="dxa"/>
          </w:tcPr>
          <w:p w14:paraId="32AE54DB" w14:textId="39A9D066" w:rsidR="008D539E" w:rsidRPr="008D539E" w:rsidRDefault="008D539E" w:rsidP="008D539E">
            <w:pPr>
              <w:pStyle w:val="ListParagraph"/>
              <w:numPr>
                <w:ilvl w:val="0"/>
                <w:numId w:val="18"/>
              </w:numPr>
              <w:ind w:left="402"/>
              <w:rPr>
                <w:rFonts w:asciiTheme="majorHAnsi" w:hAnsiTheme="majorHAnsi" w:cstheme="majorHAnsi"/>
                <w:lang w:val="fr-FR"/>
              </w:rPr>
            </w:pPr>
            <w:r w:rsidRPr="008D539E">
              <w:rPr>
                <w:rFonts w:asciiTheme="majorHAnsi" w:hAnsiTheme="majorHAnsi" w:cstheme="majorHAnsi"/>
                <w:lang w:val="fr-FR"/>
              </w:rPr>
              <w:t xml:space="preserve">Présentations plus attrayantes avec davantage d'infographies et de vidéos, si possible. </w:t>
            </w:r>
          </w:p>
          <w:p w14:paraId="64FA2A9A" w14:textId="4035C002" w:rsidR="008D539E" w:rsidRPr="008D539E" w:rsidRDefault="008D539E" w:rsidP="008D539E">
            <w:pPr>
              <w:pStyle w:val="ListParagraph"/>
              <w:numPr>
                <w:ilvl w:val="0"/>
                <w:numId w:val="18"/>
              </w:numPr>
              <w:ind w:left="402"/>
              <w:rPr>
                <w:rFonts w:asciiTheme="majorHAnsi" w:hAnsiTheme="majorHAnsi" w:cstheme="majorHAnsi"/>
                <w:lang w:val="fr-FR"/>
              </w:rPr>
            </w:pPr>
            <w:r w:rsidRPr="008D539E">
              <w:rPr>
                <w:rFonts w:asciiTheme="majorHAnsi" w:hAnsiTheme="majorHAnsi" w:cstheme="majorHAnsi"/>
                <w:lang w:val="fr-FR"/>
              </w:rPr>
              <w:t xml:space="preserve">Pour les discussions de la table ronde, nous pouvons utiliser des sessions interactives de questions-réponses, etc. Des personnes seront désignées pour gérer les conversations avec les participants </w:t>
            </w:r>
            <w:r w:rsidRPr="008D539E">
              <w:rPr>
                <w:rFonts w:asciiTheme="majorHAnsi" w:hAnsiTheme="majorHAnsi" w:cstheme="majorHAnsi"/>
                <w:lang w:val="fr-FR"/>
              </w:rPr>
              <w:t>lors des présentations ou des</w:t>
            </w:r>
            <w:r w:rsidRPr="008D539E">
              <w:rPr>
                <w:rFonts w:asciiTheme="majorHAnsi" w:hAnsiTheme="majorHAnsi" w:cstheme="majorHAnsi"/>
                <w:lang w:val="fr-FR"/>
              </w:rPr>
              <w:t xml:space="preserve"> </w:t>
            </w:r>
            <w:r w:rsidRPr="008D539E">
              <w:rPr>
                <w:rFonts w:asciiTheme="majorHAnsi" w:hAnsiTheme="majorHAnsi" w:cstheme="majorHAnsi"/>
                <w:lang w:val="fr-FR"/>
              </w:rPr>
              <w:t>discussions</w:t>
            </w:r>
            <w:r w:rsidRPr="008D539E">
              <w:rPr>
                <w:rFonts w:asciiTheme="majorHAnsi" w:hAnsiTheme="majorHAnsi" w:cstheme="majorHAnsi"/>
                <w:lang w:val="fr-FR"/>
              </w:rPr>
              <w:t>.</w:t>
            </w:r>
          </w:p>
          <w:p w14:paraId="6C413600" w14:textId="320D384D" w:rsidR="008D539E" w:rsidRPr="008D539E" w:rsidRDefault="008D539E" w:rsidP="008D539E">
            <w:pPr>
              <w:pStyle w:val="ListParagraph"/>
              <w:numPr>
                <w:ilvl w:val="0"/>
                <w:numId w:val="18"/>
              </w:numPr>
              <w:ind w:left="402"/>
              <w:rPr>
                <w:rFonts w:asciiTheme="majorHAnsi" w:hAnsiTheme="majorHAnsi" w:cstheme="majorHAnsi"/>
                <w:lang w:val="fr-FR"/>
              </w:rPr>
            </w:pPr>
            <w:r w:rsidRPr="008D539E">
              <w:rPr>
                <w:rFonts w:asciiTheme="majorHAnsi" w:hAnsiTheme="majorHAnsi" w:cstheme="majorHAnsi"/>
                <w:lang w:val="fr-FR"/>
              </w:rPr>
              <w:t xml:space="preserve">Les sessions </w:t>
            </w:r>
            <w:r w:rsidRPr="008D539E">
              <w:rPr>
                <w:rFonts w:asciiTheme="majorHAnsi" w:hAnsiTheme="majorHAnsi" w:cstheme="majorHAnsi"/>
                <w:lang w:val="fr-FR"/>
              </w:rPr>
              <w:t>seront</w:t>
            </w:r>
            <w:r w:rsidRPr="008D539E">
              <w:rPr>
                <w:rFonts w:asciiTheme="majorHAnsi" w:hAnsiTheme="majorHAnsi" w:cstheme="majorHAnsi"/>
                <w:lang w:val="fr-FR"/>
              </w:rPr>
              <w:t xml:space="preserve"> enregistrées et transformées en contenu disponible jusqu'à un an après la conférence.</w:t>
            </w:r>
          </w:p>
          <w:p w14:paraId="1CC198F6" w14:textId="07F0EA3C" w:rsidR="008D539E" w:rsidRPr="008D539E" w:rsidRDefault="008D539E" w:rsidP="008D539E">
            <w:pPr>
              <w:pStyle w:val="ListParagraph"/>
              <w:numPr>
                <w:ilvl w:val="0"/>
                <w:numId w:val="18"/>
              </w:numPr>
              <w:ind w:left="402"/>
              <w:rPr>
                <w:rFonts w:asciiTheme="majorHAnsi" w:hAnsiTheme="majorHAnsi" w:cstheme="majorHAnsi"/>
                <w:lang w:val="fr-FR"/>
              </w:rPr>
            </w:pPr>
            <w:r w:rsidRPr="008D539E">
              <w:rPr>
                <w:rFonts w:asciiTheme="majorHAnsi" w:hAnsiTheme="majorHAnsi" w:cstheme="majorHAnsi"/>
                <w:lang w:val="fr-FR"/>
              </w:rPr>
              <w:t xml:space="preserve">Utilisez des vidéos d'introduction pour présenter la session et </w:t>
            </w:r>
            <w:r w:rsidRPr="008D539E">
              <w:rPr>
                <w:rFonts w:asciiTheme="majorHAnsi" w:hAnsiTheme="majorHAnsi" w:cstheme="majorHAnsi"/>
                <w:lang w:val="fr-FR"/>
              </w:rPr>
              <w:t>dresser</w:t>
            </w:r>
            <w:r w:rsidRPr="008D539E">
              <w:rPr>
                <w:rFonts w:asciiTheme="majorHAnsi" w:hAnsiTheme="majorHAnsi" w:cstheme="majorHAnsi"/>
                <w:lang w:val="fr-FR"/>
              </w:rPr>
              <w:t xml:space="preserve"> le décor du sujet de la session.</w:t>
            </w:r>
          </w:p>
          <w:p w14:paraId="74BB1082" w14:textId="58651102" w:rsidR="002970D6" w:rsidRPr="008D539E" w:rsidRDefault="008D539E" w:rsidP="003A5806">
            <w:pPr>
              <w:pStyle w:val="ListParagraph"/>
              <w:numPr>
                <w:ilvl w:val="0"/>
                <w:numId w:val="18"/>
              </w:numPr>
              <w:ind w:left="404"/>
              <w:rPr>
                <w:rFonts w:asciiTheme="majorHAnsi" w:hAnsiTheme="majorHAnsi" w:cstheme="majorHAnsi"/>
                <w:lang w:val="fr-FR"/>
              </w:rPr>
            </w:pPr>
            <w:r w:rsidRPr="008D539E">
              <w:rPr>
                <w:rFonts w:asciiTheme="majorHAnsi" w:hAnsiTheme="majorHAnsi" w:cstheme="majorHAnsi"/>
                <w:lang w:val="fr-FR"/>
              </w:rPr>
              <w:t>Disponibilité des sessions enregistrées pendant un an après la table ronde</w:t>
            </w:r>
            <w:r w:rsidRPr="008D539E">
              <w:rPr>
                <w:rFonts w:asciiTheme="majorHAnsi" w:hAnsiTheme="majorHAnsi" w:cstheme="majorHAnsi"/>
                <w:lang w:val="fr-FR"/>
              </w:rPr>
              <w:t>.</w:t>
            </w:r>
          </w:p>
          <w:p w14:paraId="28C4B81D" w14:textId="42210449" w:rsidR="002970D6" w:rsidRPr="008D539E" w:rsidRDefault="002970D6" w:rsidP="002970D6">
            <w:pPr>
              <w:rPr>
                <w:rFonts w:asciiTheme="majorHAnsi" w:hAnsiTheme="majorHAnsi" w:cstheme="majorHAnsi"/>
                <w:lang w:val="fr-FR"/>
              </w:rPr>
            </w:pPr>
          </w:p>
        </w:tc>
      </w:tr>
      <w:tr w:rsidR="00821D4E" w:rsidRPr="008D539E" w14:paraId="43A7130E" w14:textId="77777777" w:rsidTr="00C15D90">
        <w:trPr>
          <w:trHeight w:val="694"/>
        </w:trPr>
        <w:tc>
          <w:tcPr>
            <w:tcW w:w="1512" w:type="dxa"/>
          </w:tcPr>
          <w:p w14:paraId="75B4B5B4" w14:textId="3E8AEE5B" w:rsidR="00821D4E" w:rsidRPr="008D539E" w:rsidRDefault="008D539E" w:rsidP="000E1C2C">
            <w:pPr>
              <w:rPr>
                <w:rStyle w:val="Heading1Char"/>
                <w:rFonts w:cstheme="majorHAnsi"/>
                <w:sz w:val="22"/>
                <w:szCs w:val="22"/>
                <w:highlight w:val="yellow"/>
                <w:lang w:val="fr-FR"/>
              </w:rPr>
            </w:pPr>
            <w:r w:rsidRPr="008D539E">
              <w:rPr>
                <w:rStyle w:val="Heading1Char"/>
                <w:rFonts w:cstheme="majorHAnsi"/>
                <w:sz w:val="22"/>
                <w:szCs w:val="22"/>
                <w:lang w:val="fr-FR"/>
              </w:rPr>
              <w:t>Gestion du déroulement de l'événement</w:t>
            </w:r>
          </w:p>
        </w:tc>
        <w:tc>
          <w:tcPr>
            <w:tcW w:w="7504" w:type="dxa"/>
          </w:tcPr>
          <w:p w14:paraId="30ABA35E" w14:textId="5431C138" w:rsidR="00821D4E" w:rsidRPr="008D539E" w:rsidRDefault="008D539E" w:rsidP="00443355">
            <w:pPr>
              <w:rPr>
                <w:rFonts w:asciiTheme="majorHAnsi" w:hAnsiTheme="majorHAnsi" w:cstheme="majorHAnsi"/>
                <w:highlight w:val="yellow"/>
                <w:lang w:val="fr-FR"/>
              </w:rPr>
            </w:pPr>
            <w:r w:rsidRPr="008D539E">
              <w:rPr>
                <w:rFonts w:asciiTheme="majorHAnsi" w:hAnsiTheme="majorHAnsi" w:cstheme="majorHAnsi"/>
                <w:lang w:val="fr-FR"/>
              </w:rPr>
              <w:t xml:space="preserve">Le président de la </w:t>
            </w:r>
            <w:r>
              <w:rPr>
                <w:rFonts w:asciiTheme="majorHAnsi" w:hAnsiTheme="majorHAnsi" w:cstheme="majorHAnsi"/>
                <w:lang w:val="fr-FR"/>
              </w:rPr>
              <w:t>table ronde</w:t>
            </w:r>
            <w:r w:rsidRPr="008D539E">
              <w:rPr>
                <w:rFonts w:asciiTheme="majorHAnsi" w:hAnsiTheme="majorHAnsi" w:cstheme="majorHAnsi"/>
                <w:lang w:val="fr-FR"/>
              </w:rPr>
              <w:t xml:space="preserve"> introduira chaque session en récapitulant les résultats de la journée précédente.</w:t>
            </w:r>
          </w:p>
        </w:tc>
      </w:tr>
      <w:tr w:rsidR="00752DC2" w:rsidRPr="008D539E" w14:paraId="6FB0831E" w14:textId="77777777" w:rsidTr="00C15D90">
        <w:trPr>
          <w:trHeight w:val="983"/>
        </w:trPr>
        <w:tc>
          <w:tcPr>
            <w:tcW w:w="1512" w:type="dxa"/>
          </w:tcPr>
          <w:p w14:paraId="54B595D8" w14:textId="13CE7064" w:rsidR="00752DC2" w:rsidRPr="008D539E" w:rsidRDefault="007D5688" w:rsidP="000E1C2C">
            <w:pPr>
              <w:rPr>
                <w:rStyle w:val="Heading1Char"/>
                <w:rFonts w:cstheme="majorHAnsi"/>
                <w:sz w:val="22"/>
                <w:szCs w:val="22"/>
                <w:lang w:val="fr-FR"/>
              </w:rPr>
            </w:pPr>
            <w:bookmarkStart w:id="5" w:name="_Toc52972329"/>
            <w:r w:rsidRPr="008D539E">
              <w:rPr>
                <w:rStyle w:val="Heading1Char"/>
                <w:rFonts w:cstheme="majorHAnsi"/>
                <w:sz w:val="22"/>
                <w:szCs w:val="22"/>
                <w:lang w:val="fr-FR"/>
              </w:rPr>
              <w:t>Langue</w:t>
            </w:r>
            <w:bookmarkEnd w:id="5"/>
          </w:p>
        </w:tc>
        <w:tc>
          <w:tcPr>
            <w:tcW w:w="7504" w:type="dxa"/>
          </w:tcPr>
          <w:p w14:paraId="55426884" w14:textId="305ADA31" w:rsidR="00752DC2" w:rsidRPr="008D539E" w:rsidRDefault="008D539E" w:rsidP="005137CD">
            <w:pPr>
              <w:rPr>
                <w:rFonts w:asciiTheme="majorHAnsi" w:hAnsiTheme="majorHAnsi" w:cstheme="majorHAnsi"/>
                <w:lang w:val="fr-FR"/>
              </w:rPr>
            </w:pPr>
            <w:r w:rsidRPr="008D539E">
              <w:rPr>
                <w:rFonts w:asciiTheme="majorHAnsi" w:hAnsiTheme="majorHAnsi" w:cstheme="majorHAnsi"/>
                <w:lang w:val="fr-FR"/>
              </w:rPr>
              <w:t>La table ronde reste bilingue (anglais et français) et tout le contenu et les outils de communication doivent être disponibles en anglais et en français. Toutes les sessions doivent bénéficier d'une interprétation simultanée.</w:t>
            </w:r>
            <w:r w:rsidR="007D5688" w:rsidRPr="008D539E">
              <w:rPr>
                <w:rFonts w:asciiTheme="majorHAnsi" w:hAnsiTheme="majorHAnsi" w:cstheme="majorHAnsi"/>
                <w:lang w:val="fr-FR"/>
              </w:rPr>
              <w:t xml:space="preserve"> </w:t>
            </w:r>
          </w:p>
        </w:tc>
      </w:tr>
      <w:tr w:rsidR="007D5688" w:rsidRPr="008D539E" w14:paraId="1E9ED910" w14:textId="77777777" w:rsidTr="00C15D90">
        <w:trPr>
          <w:trHeight w:val="983"/>
        </w:trPr>
        <w:tc>
          <w:tcPr>
            <w:tcW w:w="1512" w:type="dxa"/>
          </w:tcPr>
          <w:p w14:paraId="5273D2D8" w14:textId="56867BE7" w:rsidR="007D5688" w:rsidRPr="008D539E" w:rsidRDefault="008D539E" w:rsidP="007D5688">
            <w:pPr>
              <w:rPr>
                <w:rStyle w:val="Heading1Char"/>
                <w:rFonts w:cstheme="majorHAnsi"/>
                <w:sz w:val="22"/>
                <w:szCs w:val="22"/>
                <w:highlight w:val="yellow"/>
                <w:lang w:val="fr-FR"/>
              </w:rPr>
            </w:pPr>
            <w:r w:rsidRPr="008D539E">
              <w:rPr>
                <w:rStyle w:val="Heading1Char"/>
                <w:rFonts w:cstheme="majorHAnsi"/>
                <w:sz w:val="22"/>
                <w:szCs w:val="22"/>
                <w:lang w:val="fr-FR"/>
              </w:rPr>
              <w:t>Rapport de l'événement</w:t>
            </w:r>
          </w:p>
        </w:tc>
        <w:tc>
          <w:tcPr>
            <w:tcW w:w="7504" w:type="dxa"/>
          </w:tcPr>
          <w:p w14:paraId="406C87B4" w14:textId="1DA89D81" w:rsidR="007D5688" w:rsidRPr="008D539E" w:rsidRDefault="008D539E" w:rsidP="007D5688">
            <w:pPr>
              <w:rPr>
                <w:rFonts w:asciiTheme="majorHAnsi" w:hAnsiTheme="majorHAnsi" w:cstheme="majorHAnsi"/>
                <w:highlight w:val="yellow"/>
                <w:lang w:val="fr-FR"/>
              </w:rPr>
            </w:pPr>
            <w:r w:rsidRPr="008D539E">
              <w:rPr>
                <w:rFonts w:asciiTheme="majorHAnsi" w:hAnsiTheme="majorHAnsi" w:cstheme="majorHAnsi"/>
                <w:lang w:val="fr-FR"/>
              </w:rPr>
              <w:t>Un rapport de l'événement sera produit pour inclure toutes les informations et ressources fournies par le biais de liens et une liste des personnes ressources et des participants. Le rapport doit également mettre en évidence les succès, les défis et les leçons apprises, ainsi qu'un plan de durabilité permettant d'organiser périodiquement l'événement.</w:t>
            </w:r>
          </w:p>
        </w:tc>
      </w:tr>
      <w:tr w:rsidR="00C15D90" w:rsidRPr="008D539E" w14:paraId="65FB0973" w14:textId="77777777" w:rsidTr="00C15D90">
        <w:trPr>
          <w:trHeight w:val="983"/>
        </w:trPr>
        <w:tc>
          <w:tcPr>
            <w:tcW w:w="1512" w:type="dxa"/>
          </w:tcPr>
          <w:p w14:paraId="04E7692F" w14:textId="1FE59A99" w:rsidR="00C15D90" w:rsidRPr="008D539E" w:rsidRDefault="008D539E" w:rsidP="007D5688">
            <w:pPr>
              <w:rPr>
                <w:rStyle w:val="Heading1Char"/>
                <w:rFonts w:cstheme="majorHAnsi"/>
                <w:sz w:val="22"/>
                <w:szCs w:val="22"/>
                <w:highlight w:val="yellow"/>
                <w:lang w:val="fr-FR"/>
              </w:rPr>
            </w:pPr>
            <w:r w:rsidRPr="008D539E">
              <w:rPr>
                <w:rStyle w:val="Heading1Char"/>
                <w:rFonts w:cstheme="majorHAnsi"/>
                <w:sz w:val="22"/>
                <w:szCs w:val="22"/>
                <w:lang w:val="fr-FR"/>
              </w:rPr>
              <w:t>Énoncé des résultats</w:t>
            </w:r>
          </w:p>
        </w:tc>
        <w:tc>
          <w:tcPr>
            <w:tcW w:w="7504" w:type="dxa"/>
          </w:tcPr>
          <w:p w14:paraId="3CBAD145" w14:textId="327376F6" w:rsidR="00C15D90" w:rsidRPr="008D539E" w:rsidRDefault="008D539E" w:rsidP="007D5688">
            <w:pPr>
              <w:rPr>
                <w:rFonts w:asciiTheme="majorHAnsi" w:hAnsiTheme="majorHAnsi" w:cstheme="majorHAnsi"/>
                <w:highlight w:val="yellow"/>
                <w:lang w:val="fr-FR"/>
              </w:rPr>
            </w:pPr>
            <w:r w:rsidRPr="008D539E">
              <w:rPr>
                <w:rFonts w:asciiTheme="majorHAnsi" w:hAnsiTheme="majorHAnsi" w:cstheme="majorHAnsi"/>
                <w:lang w:val="fr-FR"/>
              </w:rPr>
              <w:t>Un énoncé des résultats sera élaboré par l</w:t>
            </w:r>
            <w:r w:rsidRPr="008D539E">
              <w:rPr>
                <w:rFonts w:asciiTheme="majorHAnsi" w:hAnsiTheme="majorHAnsi" w:cstheme="majorHAnsi"/>
                <w:lang w:val="fr-FR"/>
              </w:rPr>
              <w:t>e comité de la table ronde</w:t>
            </w:r>
            <w:r w:rsidRPr="008D539E">
              <w:rPr>
                <w:rFonts w:asciiTheme="majorHAnsi" w:hAnsiTheme="majorHAnsi" w:cstheme="majorHAnsi"/>
                <w:lang w:val="fr-FR"/>
              </w:rPr>
              <w:t xml:space="preserve"> et présentera les points de vue </w:t>
            </w:r>
            <w:r w:rsidR="00AA7A73">
              <w:rPr>
                <w:rFonts w:asciiTheme="majorHAnsi" w:hAnsiTheme="majorHAnsi" w:cstheme="majorHAnsi"/>
                <w:lang w:val="fr-FR"/>
              </w:rPr>
              <w:t>qui aura été approuvés par l</w:t>
            </w:r>
            <w:r w:rsidRPr="008D539E">
              <w:rPr>
                <w:rFonts w:asciiTheme="majorHAnsi" w:hAnsiTheme="majorHAnsi" w:cstheme="majorHAnsi"/>
                <w:lang w:val="fr-FR"/>
              </w:rPr>
              <w:t xml:space="preserve">es membres </w:t>
            </w:r>
            <w:r w:rsidR="00AA7A73">
              <w:rPr>
                <w:rFonts w:asciiTheme="majorHAnsi" w:hAnsiTheme="majorHAnsi" w:cstheme="majorHAnsi"/>
                <w:lang w:val="fr-FR"/>
              </w:rPr>
              <w:t>quant à</w:t>
            </w:r>
            <w:r w:rsidRPr="008D539E">
              <w:rPr>
                <w:rFonts w:asciiTheme="majorHAnsi" w:hAnsiTheme="majorHAnsi" w:cstheme="majorHAnsi"/>
                <w:lang w:val="fr-FR"/>
              </w:rPr>
              <w:t xml:space="preserve"> l'orientation de la gestion des déchets et de la lutte contre la pollution dans la région.</w:t>
            </w:r>
          </w:p>
        </w:tc>
      </w:tr>
      <w:tr w:rsidR="007D5688" w:rsidRPr="00AA7A73" w14:paraId="751D43C8" w14:textId="77777777" w:rsidTr="00C15D90">
        <w:trPr>
          <w:trHeight w:val="702"/>
        </w:trPr>
        <w:tc>
          <w:tcPr>
            <w:tcW w:w="1512" w:type="dxa"/>
          </w:tcPr>
          <w:p w14:paraId="03A79FF0" w14:textId="0595C4B8" w:rsidR="007D5688" w:rsidRPr="00726F77" w:rsidRDefault="00AA7A73" w:rsidP="007D5688">
            <w:pPr>
              <w:rPr>
                <w:rStyle w:val="Heading1Char"/>
                <w:rFonts w:cstheme="majorHAnsi"/>
                <w:sz w:val="22"/>
                <w:szCs w:val="22"/>
                <w:highlight w:val="yellow"/>
              </w:rPr>
            </w:pPr>
            <w:r w:rsidRPr="00AA7A73">
              <w:rPr>
                <w:rStyle w:val="Heading1Char"/>
                <w:rFonts w:cstheme="majorHAnsi"/>
                <w:sz w:val="22"/>
                <w:szCs w:val="22"/>
              </w:rPr>
              <w:t xml:space="preserve">Évaluation et retour </w:t>
            </w:r>
            <w:proofErr w:type="spellStart"/>
            <w:r w:rsidRPr="00AA7A73">
              <w:rPr>
                <w:rStyle w:val="Heading1Char"/>
                <w:rFonts w:cstheme="majorHAnsi"/>
                <w:sz w:val="22"/>
                <w:szCs w:val="22"/>
              </w:rPr>
              <w:t>d'information</w:t>
            </w:r>
            <w:proofErr w:type="spellEnd"/>
          </w:p>
        </w:tc>
        <w:tc>
          <w:tcPr>
            <w:tcW w:w="7504" w:type="dxa"/>
          </w:tcPr>
          <w:p w14:paraId="50AF6E0A" w14:textId="49890D23" w:rsidR="007D5688" w:rsidRPr="00AA7A73" w:rsidRDefault="00AA7A73" w:rsidP="007D5688">
            <w:pPr>
              <w:rPr>
                <w:rFonts w:asciiTheme="majorHAnsi" w:hAnsiTheme="majorHAnsi" w:cstheme="majorHAnsi"/>
                <w:highlight w:val="yellow"/>
                <w:lang w:val="fr-FR"/>
              </w:rPr>
            </w:pPr>
            <w:r w:rsidRPr="00AA7A73">
              <w:rPr>
                <w:rFonts w:asciiTheme="majorHAnsi" w:hAnsiTheme="majorHAnsi" w:cstheme="majorHAnsi"/>
                <w:lang w:val="fr-FR"/>
              </w:rPr>
              <w:t>Les participants seront invités à exprimer rapidement leur niveau de satisfaction par session grâce à un mécanisme de retour d'information qui sera intégré à la plateforme. Un sondage sera également lancé à la fin de l'événement.</w:t>
            </w:r>
          </w:p>
        </w:tc>
      </w:tr>
    </w:tbl>
    <w:p w14:paraId="6F013D67" w14:textId="77777777" w:rsidR="0042340F" w:rsidRPr="00AA7A73" w:rsidRDefault="0042340F" w:rsidP="00D01D06">
      <w:pPr>
        <w:pStyle w:val="Caption"/>
        <w:keepNext/>
        <w:rPr>
          <w:rStyle w:val="Heading2Char"/>
          <w:i w:val="0"/>
          <w:iCs w:val="0"/>
          <w:lang w:val="fr-FR"/>
        </w:rPr>
      </w:pPr>
      <w:bookmarkStart w:id="6" w:name="_Toc52972333"/>
    </w:p>
    <w:bookmarkEnd w:id="6"/>
    <w:p w14:paraId="3684C9C9" w14:textId="17322A68" w:rsidR="00D45FE5" w:rsidRPr="00AA7A73" w:rsidRDefault="00D45FE5" w:rsidP="00DB7BFA">
      <w:pPr>
        <w:rPr>
          <w:rFonts w:asciiTheme="majorHAnsi" w:eastAsiaTheme="majorEastAsia" w:hAnsiTheme="majorHAnsi" w:cstheme="majorBidi"/>
          <w:color w:val="2F5496" w:themeColor="accent1" w:themeShade="BF"/>
          <w:sz w:val="26"/>
          <w:szCs w:val="26"/>
          <w:lang w:val="fr-FR"/>
        </w:rPr>
      </w:pPr>
    </w:p>
    <w:sectPr w:rsidR="00D45FE5" w:rsidRPr="00AA7A73" w:rsidSect="00A96459">
      <w:headerReference w:type="default" r:id="rId9"/>
      <w:pgSz w:w="11906" w:h="16838"/>
      <w:pgMar w:top="1440" w:right="1440"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8215F" w14:textId="77777777" w:rsidR="006E035E" w:rsidRDefault="006E035E" w:rsidP="006614F7">
      <w:pPr>
        <w:spacing w:after="0" w:line="240" w:lineRule="auto"/>
      </w:pPr>
      <w:r>
        <w:separator/>
      </w:r>
    </w:p>
  </w:endnote>
  <w:endnote w:type="continuationSeparator" w:id="0">
    <w:p w14:paraId="08932C0F" w14:textId="77777777" w:rsidR="006E035E" w:rsidRDefault="006E035E" w:rsidP="0066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D25BF" w14:textId="77777777" w:rsidR="006E035E" w:rsidRDefault="006E035E" w:rsidP="006614F7">
      <w:pPr>
        <w:spacing w:after="0" w:line="240" w:lineRule="auto"/>
      </w:pPr>
      <w:r>
        <w:separator/>
      </w:r>
    </w:p>
  </w:footnote>
  <w:footnote w:type="continuationSeparator" w:id="0">
    <w:p w14:paraId="6E8B448A" w14:textId="77777777" w:rsidR="006E035E" w:rsidRDefault="006E035E" w:rsidP="0066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037A0" w14:textId="4A49DE5D" w:rsidR="00207332" w:rsidRDefault="00207332">
    <w:pPr>
      <w:pStyle w:val="Header"/>
    </w:pPr>
  </w:p>
  <w:p w14:paraId="536F4803" w14:textId="0EE4849B" w:rsidR="00207332" w:rsidRDefault="001270FD">
    <w:pPr>
      <w:pStyle w:val="Header"/>
    </w:pPr>
    <w:r>
      <w:rPr>
        <w:noProof/>
      </w:rPr>
      <mc:AlternateContent>
        <mc:Choice Requires="wps">
          <w:drawing>
            <wp:anchor distT="0" distB="0" distL="114300" distR="114300" simplePos="0" relativeHeight="251659264" behindDoc="0" locked="0" layoutInCell="1" allowOverlap="1" wp14:anchorId="05AEF221" wp14:editId="33A44981">
              <wp:simplePos x="0" y="0"/>
              <wp:positionH relativeFrom="margin">
                <wp:align>center</wp:align>
              </wp:positionH>
              <wp:positionV relativeFrom="paragraph">
                <wp:posOffset>3224529</wp:posOffset>
              </wp:positionV>
              <wp:extent cx="1828800" cy="1828800"/>
              <wp:effectExtent l="955992" t="0" r="850583" b="12382"/>
              <wp:wrapNone/>
              <wp:docPr id="1" name="Text Box 1"/>
              <wp:cNvGraphicFramePr/>
              <a:graphic xmlns:a="http://schemas.openxmlformats.org/drawingml/2006/main">
                <a:graphicData uri="http://schemas.microsoft.com/office/word/2010/wordprocessingShape">
                  <wps:wsp>
                    <wps:cNvSpPr txBox="1"/>
                    <wps:spPr>
                      <a:xfrm rot="18868540">
                        <a:off x="0" y="0"/>
                        <a:ext cx="1828800" cy="1828800"/>
                      </a:xfrm>
                      <a:prstGeom prst="rect">
                        <a:avLst/>
                      </a:prstGeom>
                      <a:noFill/>
                      <a:ln>
                        <a:noFill/>
                      </a:ln>
                    </wps:spPr>
                    <wps:txbx>
                      <w:txbxContent>
                        <w:p w14:paraId="03611D48" w14:textId="7F09AD5D" w:rsidR="001270FD" w:rsidRPr="001270FD" w:rsidRDefault="001270FD" w:rsidP="001270FD">
                          <w:pPr>
                            <w:pStyle w:val="Header"/>
                            <w:jc w:val="center"/>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270FD">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AEF221" id="_x0000_t202" coordsize="21600,21600" o:spt="202" path="m,l,21600r21600,l21600,xe">
              <v:stroke joinstyle="miter"/>
              <v:path gradientshapeok="t" o:connecttype="rect"/>
            </v:shapetype>
            <v:shape id="Text Box 1" o:spid="_x0000_s1026" type="#_x0000_t202" style="position:absolute;margin-left:0;margin-top:253.9pt;width:2in;height:2in;rotation:-2983483fd;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" filled="f" stroked="f">
              <v:textbox style="mso-fit-shape-to-text:t">
                <w:txbxContent>
                  <w:p w14:paraId="03611D48" w14:textId="7F09AD5D" w:rsidR="001270FD" w:rsidRPr="001270FD" w:rsidRDefault="001270FD" w:rsidP="001270FD">
                    <w:pPr>
                      <w:pStyle w:val="Header"/>
                      <w:jc w:val="center"/>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1270FD">
                      <w:rPr>
                        <w:sz w:val="200"/>
                        <w:szCs w:val="20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02E36"/>
    <w:multiLevelType w:val="hybridMultilevel"/>
    <w:tmpl w:val="DC6800AE"/>
    <w:lvl w:ilvl="0" w:tplc="CC74142A">
      <w:numFmt w:val="bullet"/>
      <w:lvlText w:val="•"/>
      <w:lvlJc w:val="left"/>
      <w:pPr>
        <w:ind w:left="1080" w:hanging="72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9879AF"/>
    <w:multiLevelType w:val="hybridMultilevel"/>
    <w:tmpl w:val="744870E0"/>
    <w:lvl w:ilvl="0" w:tplc="BDB0C13E">
      <w:start w:val="1"/>
      <w:numFmt w:val="lowerLetter"/>
      <w:lvlText w:val="%1."/>
      <w:lvlJc w:val="left"/>
      <w:pPr>
        <w:ind w:left="720" w:hanging="360"/>
      </w:pPr>
      <w:rPr>
        <w:rFonts w:asciiTheme="majorHAnsi" w:eastAsiaTheme="minorHAnsi" w:hAnsiTheme="majorHAnsi" w:cstheme="maj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EB664A"/>
    <w:multiLevelType w:val="hybridMultilevel"/>
    <w:tmpl w:val="E56A9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BA6674"/>
    <w:multiLevelType w:val="hybridMultilevel"/>
    <w:tmpl w:val="918C4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283F20"/>
    <w:multiLevelType w:val="hybridMultilevel"/>
    <w:tmpl w:val="EDB24E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2C1140"/>
    <w:multiLevelType w:val="hybridMultilevel"/>
    <w:tmpl w:val="2F3C59E0"/>
    <w:lvl w:ilvl="0" w:tplc="3960ABBE">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745787"/>
    <w:multiLevelType w:val="hybridMultilevel"/>
    <w:tmpl w:val="A2004F3E"/>
    <w:lvl w:ilvl="0" w:tplc="124431A2">
      <w:start w:val="15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D74E01"/>
    <w:multiLevelType w:val="hybridMultilevel"/>
    <w:tmpl w:val="91888528"/>
    <w:lvl w:ilvl="0" w:tplc="AC4EAA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CFE7972"/>
    <w:multiLevelType w:val="hybridMultilevel"/>
    <w:tmpl w:val="270AF1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663F6D"/>
    <w:multiLevelType w:val="hybridMultilevel"/>
    <w:tmpl w:val="99468BC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143F73"/>
    <w:multiLevelType w:val="hybridMultilevel"/>
    <w:tmpl w:val="E632881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21365FD3"/>
    <w:multiLevelType w:val="hybridMultilevel"/>
    <w:tmpl w:val="8BDCDF7A"/>
    <w:lvl w:ilvl="0" w:tplc="F9B88FD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31703C"/>
    <w:multiLevelType w:val="hybridMultilevel"/>
    <w:tmpl w:val="5E9C02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0C46FB"/>
    <w:multiLevelType w:val="hybridMultilevel"/>
    <w:tmpl w:val="93B4CEC0"/>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AF7494"/>
    <w:multiLevelType w:val="hybridMultilevel"/>
    <w:tmpl w:val="5FAE093C"/>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BD6698"/>
    <w:multiLevelType w:val="hybridMultilevel"/>
    <w:tmpl w:val="4F2E2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256958"/>
    <w:multiLevelType w:val="hybridMultilevel"/>
    <w:tmpl w:val="91086CFC"/>
    <w:lvl w:ilvl="0" w:tplc="7016988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54263AC"/>
    <w:multiLevelType w:val="hybridMultilevel"/>
    <w:tmpl w:val="2CCAC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B35446"/>
    <w:multiLevelType w:val="hybridMultilevel"/>
    <w:tmpl w:val="51D4A3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3F56D1"/>
    <w:multiLevelType w:val="hybridMultilevel"/>
    <w:tmpl w:val="A7783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C21A9F"/>
    <w:multiLevelType w:val="hybridMultilevel"/>
    <w:tmpl w:val="008A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1F4CEC"/>
    <w:multiLevelType w:val="hybridMultilevel"/>
    <w:tmpl w:val="5352C0B4"/>
    <w:lvl w:ilvl="0" w:tplc="2100824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575D6F"/>
    <w:multiLevelType w:val="hybridMultilevel"/>
    <w:tmpl w:val="70BC5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D65A87"/>
    <w:multiLevelType w:val="hybridMultilevel"/>
    <w:tmpl w:val="7CCC1E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457029C3"/>
    <w:multiLevelType w:val="hybridMultilevel"/>
    <w:tmpl w:val="0728C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006B08"/>
    <w:multiLevelType w:val="hybridMultilevel"/>
    <w:tmpl w:val="BEC2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F105C3"/>
    <w:multiLevelType w:val="hybridMultilevel"/>
    <w:tmpl w:val="87F07F4C"/>
    <w:lvl w:ilvl="0" w:tplc="AF087096">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9934338"/>
    <w:multiLevelType w:val="hybridMultilevel"/>
    <w:tmpl w:val="FF62F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C260BA"/>
    <w:multiLevelType w:val="hybridMultilevel"/>
    <w:tmpl w:val="5D84F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0D2243"/>
    <w:multiLevelType w:val="hybridMultilevel"/>
    <w:tmpl w:val="CD329956"/>
    <w:lvl w:ilvl="0" w:tplc="8BB2B50A">
      <w:start w:val="1"/>
      <w:numFmt w:val="bullet"/>
      <w:lvlText w:val="-"/>
      <w:lvlJc w:val="left"/>
      <w:pPr>
        <w:ind w:left="144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CED6F94"/>
    <w:multiLevelType w:val="hybridMultilevel"/>
    <w:tmpl w:val="94421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996D97"/>
    <w:multiLevelType w:val="hybridMultilevel"/>
    <w:tmpl w:val="F8D25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229327D"/>
    <w:multiLevelType w:val="hybridMultilevel"/>
    <w:tmpl w:val="23FCD942"/>
    <w:lvl w:ilvl="0" w:tplc="BA76BDA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56693862"/>
    <w:multiLevelType w:val="hybridMultilevel"/>
    <w:tmpl w:val="86F6EEF2"/>
    <w:lvl w:ilvl="0" w:tplc="03CAAA8E">
      <w:start w:val="1"/>
      <w:numFmt w:val="upperRoman"/>
      <w:lvlText w:val="%1."/>
      <w:lvlJc w:val="left"/>
      <w:pPr>
        <w:ind w:left="1080" w:hanging="72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8625E8F"/>
    <w:multiLevelType w:val="hybridMultilevel"/>
    <w:tmpl w:val="482889A6"/>
    <w:lvl w:ilvl="0" w:tplc="0A2C784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F52775"/>
    <w:multiLevelType w:val="hybridMultilevel"/>
    <w:tmpl w:val="05B689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AC4544"/>
    <w:multiLevelType w:val="hybridMultilevel"/>
    <w:tmpl w:val="29563B22"/>
    <w:lvl w:ilvl="0" w:tplc="1F1855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2977AC8"/>
    <w:multiLevelType w:val="hybridMultilevel"/>
    <w:tmpl w:val="D140082A"/>
    <w:lvl w:ilvl="0" w:tplc="9586DCA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60E7DDA"/>
    <w:multiLevelType w:val="hybridMultilevel"/>
    <w:tmpl w:val="AD284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71D0AD7"/>
    <w:multiLevelType w:val="hybridMultilevel"/>
    <w:tmpl w:val="08421C22"/>
    <w:lvl w:ilvl="0" w:tplc="0C090001">
      <w:start w:val="1"/>
      <w:numFmt w:val="bullet"/>
      <w:lvlText w:val=""/>
      <w:lvlJc w:val="left"/>
      <w:pPr>
        <w:ind w:left="720" w:hanging="360"/>
      </w:pPr>
      <w:rPr>
        <w:rFonts w:ascii="Symbol" w:hAnsi="Symbol" w:hint="default"/>
      </w:rPr>
    </w:lvl>
    <w:lvl w:ilvl="1" w:tplc="B608F67C">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72288E"/>
    <w:multiLevelType w:val="hybridMultilevel"/>
    <w:tmpl w:val="674E90D0"/>
    <w:lvl w:ilvl="0" w:tplc="25601C12">
      <w:start w:val="1"/>
      <w:numFmt w:val="lowerRoman"/>
      <w:lvlText w:val="%1."/>
      <w:lvlJc w:val="left"/>
      <w:pPr>
        <w:ind w:left="803" w:hanging="360"/>
      </w:pPr>
      <w:rPr>
        <w:rFonts w:asciiTheme="majorHAnsi" w:eastAsiaTheme="minorHAnsi" w:hAnsiTheme="majorHAnsi" w:cstheme="majorHAnsi"/>
      </w:rPr>
    </w:lvl>
    <w:lvl w:ilvl="1" w:tplc="0C090019" w:tentative="1">
      <w:start w:val="1"/>
      <w:numFmt w:val="lowerLetter"/>
      <w:lvlText w:val="%2."/>
      <w:lvlJc w:val="left"/>
      <w:pPr>
        <w:ind w:left="1523" w:hanging="360"/>
      </w:pPr>
    </w:lvl>
    <w:lvl w:ilvl="2" w:tplc="0C09001B" w:tentative="1">
      <w:start w:val="1"/>
      <w:numFmt w:val="lowerRoman"/>
      <w:lvlText w:val="%3."/>
      <w:lvlJc w:val="right"/>
      <w:pPr>
        <w:ind w:left="2243" w:hanging="180"/>
      </w:pPr>
    </w:lvl>
    <w:lvl w:ilvl="3" w:tplc="0C09000F" w:tentative="1">
      <w:start w:val="1"/>
      <w:numFmt w:val="decimal"/>
      <w:lvlText w:val="%4."/>
      <w:lvlJc w:val="left"/>
      <w:pPr>
        <w:ind w:left="2963" w:hanging="360"/>
      </w:pPr>
    </w:lvl>
    <w:lvl w:ilvl="4" w:tplc="0C090019" w:tentative="1">
      <w:start w:val="1"/>
      <w:numFmt w:val="lowerLetter"/>
      <w:lvlText w:val="%5."/>
      <w:lvlJc w:val="left"/>
      <w:pPr>
        <w:ind w:left="3683" w:hanging="360"/>
      </w:pPr>
    </w:lvl>
    <w:lvl w:ilvl="5" w:tplc="0C09001B" w:tentative="1">
      <w:start w:val="1"/>
      <w:numFmt w:val="lowerRoman"/>
      <w:lvlText w:val="%6."/>
      <w:lvlJc w:val="right"/>
      <w:pPr>
        <w:ind w:left="4403" w:hanging="180"/>
      </w:pPr>
    </w:lvl>
    <w:lvl w:ilvl="6" w:tplc="0C09000F" w:tentative="1">
      <w:start w:val="1"/>
      <w:numFmt w:val="decimal"/>
      <w:lvlText w:val="%7."/>
      <w:lvlJc w:val="left"/>
      <w:pPr>
        <w:ind w:left="5123" w:hanging="360"/>
      </w:pPr>
    </w:lvl>
    <w:lvl w:ilvl="7" w:tplc="0C090019" w:tentative="1">
      <w:start w:val="1"/>
      <w:numFmt w:val="lowerLetter"/>
      <w:lvlText w:val="%8."/>
      <w:lvlJc w:val="left"/>
      <w:pPr>
        <w:ind w:left="5843" w:hanging="360"/>
      </w:pPr>
    </w:lvl>
    <w:lvl w:ilvl="8" w:tplc="0C09001B" w:tentative="1">
      <w:start w:val="1"/>
      <w:numFmt w:val="lowerRoman"/>
      <w:lvlText w:val="%9."/>
      <w:lvlJc w:val="right"/>
      <w:pPr>
        <w:ind w:left="6563" w:hanging="180"/>
      </w:pPr>
    </w:lvl>
  </w:abstractNum>
  <w:abstractNum w:abstractNumId="41" w15:restartNumberingAfterBreak="0">
    <w:nsid w:val="6A4E00D6"/>
    <w:multiLevelType w:val="hybridMultilevel"/>
    <w:tmpl w:val="6898F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805B3F"/>
    <w:multiLevelType w:val="hybridMultilevel"/>
    <w:tmpl w:val="2F0C3884"/>
    <w:lvl w:ilvl="0" w:tplc="CCF087E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3" w15:restartNumberingAfterBreak="0">
    <w:nsid w:val="6E29767B"/>
    <w:multiLevelType w:val="hybridMultilevel"/>
    <w:tmpl w:val="26F62C5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6E3B225F"/>
    <w:multiLevelType w:val="hybridMultilevel"/>
    <w:tmpl w:val="BD145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F07242B"/>
    <w:multiLevelType w:val="hybridMultilevel"/>
    <w:tmpl w:val="5AB2D030"/>
    <w:lvl w:ilvl="0" w:tplc="0C09000F">
      <w:start w:val="1"/>
      <w:numFmt w:val="decimal"/>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46" w15:restartNumberingAfterBreak="0">
    <w:nsid w:val="6F277A99"/>
    <w:multiLevelType w:val="hybridMultilevel"/>
    <w:tmpl w:val="3702B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44254BC"/>
    <w:multiLevelType w:val="hybridMultilevel"/>
    <w:tmpl w:val="01243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6D3908"/>
    <w:multiLevelType w:val="hybridMultilevel"/>
    <w:tmpl w:val="C9C885A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5B73FB2"/>
    <w:multiLevelType w:val="hybridMultilevel"/>
    <w:tmpl w:val="C2920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E82511"/>
    <w:multiLevelType w:val="hybridMultilevel"/>
    <w:tmpl w:val="8B58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482322">
    <w:abstractNumId w:val="11"/>
  </w:num>
  <w:num w:numId="2" w16cid:durableId="837815463">
    <w:abstractNumId w:val="36"/>
  </w:num>
  <w:num w:numId="3" w16cid:durableId="1979531646">
    <w:abstractNumId w:val="21"/>
  </w:num>
  <w:num w:numId="4" w16cid:durableId="1769806711">
    <w:abstractNumId w:val="26"/>
  </w:num>
  <w:num w:numId="5" w16cid:durableId="524295770">
    <w:abstractNumId w:val="14"/>
  </w:num>
  <w:num w:numId="6" w16cid:durableId="399789928">
    <w:abstractNumId w:val="9"/>
  </w:num>
  <w:num w:numId="7" w16cid:durableId="1387602612">
    <w:abstractNumId w:val="45"/>
  </w:num>
  <w:num w:numId="8" w16cid:durableId="818814317">
    <w:abstractNumId w:val="33"/>
  </w:num>
  <w:num w:numId="9" w16cid:durableId="1263758274">
    <w:abstractNumId w:val="48"/>
  </w:num>
  <w:num w:numId="10" w16cid:durableId="531309572">
    <w:abstractNumId w:val="42"/>
  </w:num>
  <w:num w:numId="11" w16cid:durableId="91706049">
    <w:abstractNumId w:val="24"/>
  </w:num>
  <w:num w:numId="12" w16cid:durableId="941229460">
    <w:abstractNumId w:val="1"/>
  </w:num>
  <w:num w:numId="13" w16cid:durableId="296648517">
    <w:abstractNumId w:val="5"/>
  </w:num>
  <w:num w:numId="14" w16cid:durableId="1144853118">
    <w:abstractNumId w:val="16"/>
  </w:num>
  <w:num w:numId="15" w16cid:durableId="2141224412">
    <w:abstractNumId w:val="29"/>
  </w:num>
  <w:num w:numId="16" w16cid:durableId="705712597">
    <w:abstractNumId w:val="39"/>
  </w:num>
  <w:num w:numId="17" w16cid:durableId="478614216">
    <w:abstractNumId w:val="37"/>
  </w:num>
  <w:num w:numId="18" w16cid:durableId="1047488489">
    <w:abstractNumId w:val="10"/>
  </w:num>
  <w:num w:numId="19" w16cid:durableId="546143813">
    <w:abstractNumId w:val="43"/>
  </w:num>
  <w:num w:numId="20" w16cid:durableId="2119179990">
    <w:abstractNumId w:val="23"/>
  </w:num>
  <w:num w:numId="21" w16cid:durableId="1314607232">
    <w:abstractNumId w:val="7"/>
  </w:num>
  <w:num w:numId="22" w16cid:durableId="1556745194">
    <w:abstractNumId w:val="12"/>
  </w:num>
  <w:num w:numId="23" w16cid:durableId="80225766">
    <w:abstractNumId w:val="34"/>
  </w:num>
  <w:num w:numId="24" w16cid:durableId="1152065739">
    <w:abstractNumId w:val="6"/>
  </w:num>
  <w:num w:numId="25" w16cid:durableId="1006439657">
    <w:abstractNumId w:val="8"/>
  </w:num>
  <w:num w:numId="26" w16cid:durableId="1286230243">
    <w:abstractNumId w:val="27"/>
  </w:num>
  <w:num w:numId="27" w16cid:durableId="236522371">
    <w:abstractNumId w:val="35"/>
  </w:num>
  <w:num w:numId="28" w16cid:durableId="443884351">
    <w:abstractNumId w:val="50"/>
  </w:num>
  <w:num w:numId="29" w16cid:durableId="546258249">
    <w:abstractNumId w:val="38"/>
  </w:num>
  <w:num w:numId="30" w16cid:durableId="1945066501">
    <w:abstractNumId w:val="28"/>
  </w:num>
  <w:num w:numId="31" w16cid:durableId="1876499644">
    <w:abstractNumId w:val="47"/>
  </w:num>
  <w:num w:numId="32" w16cid:durableId="1628968860">
    <w:abstractNumId w:val="49"/>
  </w:num>
  <w:num w:numId="33" w16cid:durableId="992178049">
    <w:abstractNumId w:val="30"/>
  </w:num>
  <w:num w:numId="34" w16cid:durableId="1968701755">
    <w:abstractNumId w:val="40"/>
  </w:num>
  <w:num w:numId="35" w16cid:durableId="1485462683">
    <w:abstractNumId w:val="32"/>
  </w:num>
  <w:num w:numId="36" w16cid:durableId="864437879">
    <w:abstractNumId w:val="13"/>
  </w:num>
  <w:num w:numId="37" w16cid:durableId="1127624030">
    <w:abstractNumId w:val="17"/>
  </w:num>
  <w:num w:numId="38" w16cid:durableId="528029555">
    <w:abstractNumId w:val="25"/>
  </w:num>
  <w:num w:numId="39" w16cid:durableId="614943166">
    <w:abstractNumId w:val="22"/>
  </w:num>
  <w:num w:numId="40" w16cid:durableId="517355632">
    <w:abstractNumId w:val="31"/>
  </w:num>
  <w:num w:numId="41" w16cid:durableId="1866944432">
    <w:abstractNumId w:val="0"/>
  </w:num>
  <w:num w:numId="42" w16cid:durableId="1412310152">
    <w:abstractNumId w:val="20"/>
  </w:num>
  <w:num w:numId="43" w16cid:durableId="1258100233">
    <w:abstractNumId w:val="4"/>
  </w:num>
  <w:num w:numId="44" w16cid:durableId="176115941">
    <w:abstractNumId w:val="18"/>
  </w:num>
  <w:num w:numId="45" w16cid:durableId="1318651619">
    <w:abstractNumId w:val="44"/>
  </w:num>
  <w:num w:numId="46" w16cid:durableId="1393700282">
    <w:abstractNumId w:val="46"/>
  </w:num>
  <w:num w:numId="47" w16cid:durableId="765080769">
    <w:abstractNumId w:val="3"/>
  </w:num>
  <w:num w:numId="48" w16cid:durableId="2124222307">
    <w:abstractNumId w:val="41"/>
  </w:num>
  <w:num w:numId="49" w16cid:durableId="2109227743">
    <w:abstractNumId w:val="19"/>
  </w:num>
  <w:num w:numId="50" w16cid:durableId="1479498394">
    <w:abstractNumId w:val="2"/>
  </w:num>
  <w:num w:numId="51" w16cid:durableId="8765085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CA8"/>
    <w:rsid w:val="0000662A"/>
    <w:rsid w:val="00023745"/>
    <w:rsid w:val="000240D8"/>
    <w:rsid w:val="000241B0"/>
    <w:rsid w:val="00033BF5"/>
    <w:rsid w:val="000363D5"/>
    <w:rsid w:val="00042EF4"/>
    <w:rsid w:val="00052820"/>
    <w:rsid w:val="000573B7"/>
    <w:rsid w:val="000608EB"/>
    <w:rsid w:val="00061C6B"/>
    <w:rsid w:val="0006739D"/>
    <w:rsid w:val="000813B6"/>
    <w:rsid w:val="00090609"/>
    <w:rsid w:val="00090A54"/>
    <w:rsid w:val="00092495"/>
    <w:rsid w:val="000A47F4"/>
    <w:rsid w:val="000A7A20"/>
    <w:rsid w:val="000B20C7"/>
    <w:rsid w:val="000B3E48"/>
    <w:rsid w:val="000B6F7D"/>
    <w:rsid w:val="000C2C49"/>
    <w:rsid w:val="000C7A39"/>
    <w:rsid w:val="000E1C2C"/>
    <w:rsid w:val="000E2B9B"/>
    <w:rsid w:val="000F51D9"/>
    <w:rsid w:val="00103E57"/>
    <w:rsid w:val="00104AF0"/>
    <w:rsid w:val="00106466"/>
    <w:rsid w:val="00114729"/>
    <w:rsid w:val="001200B6"/>
    <w:rsid w:val="0012201E"/>
    <w:rsid w:val="00123835"/>
    <w:rsid w:val="00124397"/>
    <w:rsid w:val="001269CA"/>
    <w:rsid w:val="001270FD"/>
    <w:rsid w:val="00131060"/>
    <w:rsid w:val="00134DFE"/>
    <w:rsid w:val="00136551"/>
    <w:rsid w:val="00137E32"/>
    <w:rsid w:val="00157100"/>
    <w:rsid w:val="001572AA"/>
    <w:rsid w:val="001719E9"/>
    <w:rsid w:val="00175646"/>
    <w:rsid w:val="0017583B"/>
    <w:rsid w:val="00176F38"/>
    <w:rsid w:val="00183AC4"/>
    <w:rsid w:val="00195748"/>
    <w:rsid w:val="001A3D8E"/>
    <w:rsid w:val="001A7972"/>
    <w:rsid w:val="001B1391"/>
    <w:rsid w:val="001B2D1B"/>
    <w:rsid w:val="001B3C36"/>
    <w:rsid w:val="001B63AB"/>
    <w:rsid w:val="001C2C55"/>
    <w:rsid w:val="001C7F72"/>
    <w:rsid w:val="001D26B5"/>
    <w:rsid w:val="001D6C86"/>
    <w:rsid w:val="001E13E6"/>
    <w:rsid w:val="001E413B"/>
    <w:rsid w:val="001E4A3B"/>
    <w:rsid w:val="001F01CC"/>
    <w:rsid w:val="001F0860"/>
    <w:rsid w:val="001F371B"/>
    <w:rsid w:val="0020151D"/>
    <w:rsid w:val="00203388"/>
    <w:rsid w:val="00205E46"/>
    <w:rsid w:val="00207332"/>
    <w:rsid w:val="0021256D"/>
    <w:rsid w:val="00214CEF"/>
    <w:rsid w:val="00224D0C"/>
    <w:rsid w:val="00227F7F"/>
    <w:rsid w:val="00235384"/>
    <w:rsid w:val="002370ED"/>
    <w:rsid w:val="002470A8"/>
    <w:rsid w:val="00250D18"/>
    <w:rsid w:val="00254E79"/>
    <w:rsid w:val="0025794B"/>
    <w:rsid w:val="00260470"/>
    <w:rsid w:val="00266CB8"/>
    <w:rsid w:val="00267128"/>
    <w:rsid w:val="00272CF5"/>
    <w:rsid w:val="00275773"/>
    <w:rsid w:val="00282A93"/>
    <w:rsid w:val="00287A84"/>
    <w:rsid w:val="00293365"/>
    <w:rsid w:val="00297031"/>
    <w:rsid w:val="002970D6"/>
    <w:rsid w:val="002A5545"/>
    <w:rsid w:val="002C582F"/>
    <w:rsid w:val="002D0728"/>
    <w:rsid w:val="002D5840"/>
    <w:rsid w:val="002D6F76"/>
    <w:rsid w:val="002D76D9"/>
    <w:rsid w:val="002D7E48"/>
    <w:rsid w:val="002E1C7B"/>
    <w:rsid w:val="002E64CB"/>
    <w:rsid w:val="002F3321"/>
    <w:rsid w:val="002F65D6"/>
    <w:rsid w:val="002F66B2"/>
    <w:rsid w:val="003035A0"/>
    <w:rsid w:val="00313BED"/>
    <w:rsid w:val="00315752"/>
    <w:rsid w:val="00317CDE"/>
    <w:rsid w:val="00330C8A"/>
    <w:rsid w:val="00333A1D"/>
    <w:rsid w:val="00335FF4"/>
    <w:rsid w:val="00342363"/>
    <w:rsid w:val="00343255"/>
    <w:rsid w:val="0034413E"/>
    <w:rsid w:val="003540A3"/>
    <w:rsid w:val="0035440A"/>
    <w:rsid w:val="00367FF1"/>
    <w:rsid w:val="0037107C"/>
    <w:rsid w:val="003737ED"/>
    <w:rsid w:val="00381D42"/>
    <w:rsid w:val="00382935"/>
    <w:rsid w:val="003927C6"/>
    <w:rsid w:val="003A53DC"/>
    <w:rsid w:val="003A5E1C"/>
    <w:rsid w:val="003B012C"/>
    <w:rsid w:val="003C151F"/>
    <w:rsid w:val="003C6940"/>
    <w:rsid w:val="003D2B1F"/>
    <w:rsid w:val="003D2CFB"/>
    <w:rsid w:val="003D3E26"/>
    <w:rsid w:val="003D65E6"/>
    <w:rsid w:val="003E1997"/>
    <w:rsid w:val="003E3E32"/>
    <w:rsid w:val="003E5C05"/>
    <w:rsid w:val="003E7CA8"/>
    <w:rsid w:val="003F11A9"/>
    <w:rsid w:val="003F237B"/>
    <w:rsid w:val="00415F1E"/>
    <w:rsid w:val="00417F14"/>
    <w:rsid w:val="0042340F"/>
    <w:rsid w:val="00424FD7"/>
    <w:rsid w:val="00426BBD"/>
    <w:rsid w:val="0043351A"/>
    <w:rsid w:val="0043463E"/>
    <w:rsid w:val="00443355"/>
    <w:rsid w:val="004468B4"/>
    <w:rsid w:val="004548E8"/>
    <w:rsid w:val="00460F8B"/>
    <w:rsid w:val="00466EB2"/>
    <w:rsid w:val="004724FF"/>
    <w:rsid w:val="004818A3"/>
    <w:rsid w:val="00482581"/>
    <w:rsid w:val="00493781"/>
    <w:rsid w:val="004A5932"/>
    <w:rsid w:val="004A7D63"/>
    <w:rsid w:val="004B659A"/>
    <w:rsid w:val="004B692B"/>
    <w:rsid w:val="004C5F25"/>
    <w:rsid w:val="004D3A0C"/>
    <w:rsid w:val="004D5A93"/>
    <w:rsid w:val="004D62FE"/>
    <w:rsid w:val="004E75BE"/>
    <w:rsid w:val="0050082D"/>
    <w:rsid w:val="005009AB"/>
    <w:rsid w:val="00504404"/>
    <w:rsid w:val="005137CD"/>
    <w:rsid w:val="00515121"/>
    <w:rsid w:val="00526666"/>
    <w:rsid w:val="00532220"/>
    <w:rsid w:val="00537CBE"/>
    <w:rsid w:val="00542244"/>
    <w:rsid w:val="005424AB"/>
    <w:rsid w:val="00543674"/>
    <w:rsid w:val="005640EE"/>
    <w:rsid w:val="00570D8F"/>
    <w:rsid w:val="0057198D"/>
    <w:rsid w:val="00573E15"/>
    <w:rsid w:val="005807F0"/>
    <w:rsid w:val="00583576"/>
    <w:rsid w:val="00585616"/>
    <w:rsid w:val="0059221F"/>
    <w:rsid w:val="0059277E"/>
    <w:rsid w:val="005964EF"/>
    <w:rsid w:val="0059684F"/>
    <w:rsid w:val="00596E1F"/>
    <w:rsid w:val="005970EE"/>
    <w:rsid w:val="005A55F1"/>
    <w:rsid w:val="005B4A1F"/>
    <w:rsid w:val="005B7C21"/>
    <w:rsid w:val="005C1A56"/>
    <w:rsid w:val="005C554E"/>
    <w:rsid w:val="005E1F90"/>
    <w:rsid w:val="00603D12"/>
    <w:rsid w:val="00621856"/>
    <w:rsid w:val="006330E3"/>
    <w:rsid w:val="0063465C"/>
    <w:rsid w:val="00644A2B"/>
    <w:rsid w:val="006463C6"/>
    <w:rsid w:val="00656194"/>
    <w:rsid w:val="00660BB2"/>
    <w:rsid w:val="00661091"/>
    <w:rsid w:val="006614F7"/>
    <w:rsid w:val="00661F58"/>
    <w:rsid w:val="006620B9"/>
    <w:rsid w:val="0066219F"/>
    <w:rsid w:val="006722B2"/>
    <w:rsid w:val="0068235C"/>
    <w:rsid w:val="00684A14"/>
    <w:rsid w:val="00684EC5"/>
    <w:rsid w:val="00685B87"/>
    <w:rsid w:val="006A3742"/>
    <w:rsid w:val="006A566B"/>
    <w:rsid w:val="006A62AE"/>
    <w:rsid w:val="006B2274"/>
    <w:rsid w:val="006B5EE3"/>
    <w:rsid w:val="006C3E6A"/>
    <w:rsid w:val="006D4262"/>
    <w:rsid w:val="006E035E"/>
    <w:rsid w:val="006E6773"/>
    <w:rsid w:val="006E7A11"/>
    <w:rsid w:val="006F1350"/>
    <w:rsid w:val="0070031C"/>
    <w:rsid w:val="0071248E"/>
    <w:rsid w:val="00713C2F"/>
    <w:rsid w:val="00717B72"/>
    <w:rsid w:val="007267F5"/>
    <w:rsid w:val="00726F77"/>
    <w:rsid w:val="0072733D"/>
    <w:rsid w:val="00727C58"/>
    <w:rsid w:val="007317E5"/>
    <w:rsid w:val="00733C81"/>
    <w:rsid w:val="007407A8"/>
    <w:rsid w:val="00740E3F"/>
    <w:rsid w:val="00746A87"/>
    <w:rsid w:val="00752DC2"/>
    <w:rsid w:val="00761388"/>
    <w:rsid w:val="007701C7"/>
    <w:rsid w:val="0077595E"/>
    <w:rsid w:val="007830D0"/>
    <w:rsid w:val="00792D45"/>
    <w:rsid w:val="007A2E65"/>
    <w:rsid w:val="007A43DB"/>
    <w:rsid w:val="007B302A"/>
    <w:rsid w:val="007C47B3"/>
    <w:rsid w:val="007C6840"/>
    <w:rsid w:val="007D5688"/>
    <w:rsid w:val="007D745F"/>
    <w:rsid w:val="007E1222"/>
    <w:rsid w:val="007F2EE9"/>
    <w:rsid w:val="008014D5"/>
    <w:rsid w:val="008120FE"/>
    <w:rsid w:val="00814645"/>
    <w:rsid w:val="00821D4E"/>
    <w:rsid w:val="00826382"/>
    <w:rsid w:val="00831EE8"/>
    <w:rsid w:val="008401B0"/>
    <w:rsid w:val="008429E6"/>
    <w:rsid w:val="00846DD3"/>
    <w:rsid w:val="00850833"/>
    <w:rsid w:val="00857415"/>
    <w:rsid w:val="00860776"/>
    <w:rsid w:val="00862BA0"/>
    <w:rsid w:val="00862FB6"/>
    <w:rsid w:val="0086647B"/>
    <w:rsid w:val="008754AD"/>
    <w:rsid w:val="00891AC9"/>
    <w:rsid w:val="008940C5"/>
    <w:rsid w:val="008A03BA"/>
    <w:rsid w:val="008A1157"/>
    <w:rsid w:val="008A1CF9"/>
    <w:rsid w:val="008B4875"/>
    <w:rsid w:val="008C301A"/>
    <w:rsid w:val="008C4F20"/>
    <w:rsid w:val="008C755F"/>
    <w:rsid w:val="008D2066"/>
    <w:rsid w:val="008D2765"/>
    <w:rsid w:val="008D3EA2"/>
    <w:rsid w:val="008D539E"/>
    <w:rsid w:val="008D570D"/>
    <w:rsid w:val="008D6DB4"/>
    <w:rsid w:val="008F4CBD"/>
    <w:rsid w:val="00910D8C"/>
    <w:rsid w:val="00915F73"/>
    <w:rsid w:val="00917506"/>
    <w:rsid w:val="00921FC8"/>
    <w:rsid w:val="009226C7"/>
    <w:rsid w:val="00941CE3"/>
    <w:rsid w:val="00943949"/>
    <w:rsid w:val="009453BC"/>
    <w:rsid w:val="00954E46"/>
    <w:rsid w:val="0096103E"/>
    <w:rsid w:val="00962B69"/>
    <w:rsid w:val="00970EE2"/>
    <w:rsid w:val="009833E9"/>
    <w:rsid w:val="00987173"/>
    <w:rsid w:val="0099157F"/>
    <w:rsid w:val="009A071A"/>
    <w:rsid w:val="009A69A7"/>
    <w:rsid w:val="009B0210"/>
    <w:rsid w:val="009C139A"/>
    <w:rsid w:val="009C56C5"/>
    <w:rsid w:val="009C7BDF"/>
    <w:rsid w:val="009D1298"/>
    <w:rsid w:val="009D5A50"/>
    <w:rsid w:val="009F2113"/>
    <w:rsid w:val="009F2DB0"/>
    <w:rsid w:val="009F3C98"/>
    <w:rsid w:val="009F767C"/>
    <w:rsid w:val="00A049A0"/>
    <w:rsid w:val="00A049AD"/>
    <w:rsid w:val="00A37036"/>
    <w:rsid w:val="00A568E4"/>
    <w:rsid w:val="00A56945"/>
    <w:rsid w:val="00A63DDF"/>
    <w:rsid w:val="00A66128"/>
    <w:rsid w:val="00A76D27"/>
    <w:rsid w:val="00A7731C"/>
    <w:rsid w:val="00A7773E"/>
    <w:rsid w:val="00A809BB"/>
    <w:rsid w:val="00A82564"/>
    <w:rsid w:val="00A86CA8"/>
    <w:rsid w:val="00A92235"/>
    <w:rsid w:val="00A96459"/>
    <w:rsid w:val="00AA57DB"/>
    <w:rsid w:val="00AA7A73"/>
    <w:rsid w:val="00AC1545"/>
    <w:rsid w:val="00AD268B"/>
    <w:rsid w:val="00AF5007"/>
    <w:rsid w:val="00AF6713"/>
    <w:rsid w:val="00B100E1"/>
    <w:rsid w:val="00B102BA"/>
    <w:rsid w:val="00B12E47"/>
    <w:rsid w:val="00B228F1"/>
    <w:rsid w:val="00B2615A"/>
    <w:rsid w:val="00B266C9"/>
    <w:rsid w:val="00B26E70"/>
    <w:rsid w:val="00B30F06"/>
    <w:rsid w:val="00B40C27"/>
    <w:rsid w:val="00B4489E"/>
    <w:rsid w:val="00B51139"/>
    <w:rsid w:val="00B51490"/>
    <w:rsid w:val="00B62221"/>
    <w:rsid w:val="00B66202"/>
    <w:rsid w:val="00B71822"/>
    <w:rsid w:val="00B746A3"/>
    <w:rsid w:val="00B82CF3"/>
    <w:rsid w:val="00B86348"/>
    <w:rsid w:val="00B958B4"/>
    <w:rsid w:val="00B960C3"/>
    <w:rsid w:val="00BA2066"/>
    <w:rsid w:val="00BA37B5"/>
    <w:rsid w:val="00BB643E"/>
    <w:rsid w:val="00BC0B0B"/>
    <w:rsid w:val="00BD1168"/>
    <w:rsid w:val="00BE09CB"/>
    <w:rsid w:val="00BE1B62"/>
    <w:rsid w:val="00BF7625"/>
    <w:rsid w:val="00C006A3"/>
    <w:rsid w:val="00C1097D"/>
    <w:rsid w:val="00C1128E"/>
    <w:rsid w:val="00C15D90"/>
    <w:rsid w:val="00C257F0"/>
    <w:rsid w:val="00C25AED"/>
    <w:rsid w:val="00C30E0A"/>
    <w:rsid w:val="00C31564"/>
    <w:rsid w:val="00C3320D"/>
    <w:rsid w:val="00C33349"/>
    <w:rsid w:val="00C333FC"/>
    <w:rsid w:val="00C360DC"/>
    <w:rsid w:val="00C45FB1"/>
    <w:rsid w:val="00C63206"/>
    <w:rsid w:val="00C71421"/>
    <w:rsid w:val="00C86060"/>
    <w:rsid w:val="00C87028"/>
    <w:rsid w:val="00C8735B"/>
    <w:rsid w:val="00C87ED1"/>
    <w:rsid w:val="00C912BD"/>
    <w:rsid w:val="00C920F9"/>
    <w:rsid w:val="00C96D0A"/>
    <w:rsid w:val="00CA1184"/>
    <w:rsid w:val="00CD581F"/>
    <w:rsid w:val="00CE02A3"/>
    <w:rsid w:val="00CE3BAC"/>
    <w:rsid w:val="00CE51CB"/>
    <w:rsid w:val="00CE6DA1"/>
    <w:rsid w:val="00CF283E"/>
    <w:rsid w:val="00CF422D"/>
    <w:rsid w:val="00CF7E39"/>
    <w:rsid w:val="00D01D06"/>
    <w:rsid w:val="00D04226"/>
    <w:rsid w:val="00D073BE"/>
    <w:rsid w:val="00D13B69"/>
    <w:rsid w:val="00D14AA6"/>
    <w:rsid w:val="00D2198B"/>
    <w:rsid w:val="00D307B6"/>
    <w:rsid w:val="00D349C7"/>
    <w:rsid w:val="00D36839"/>
    <w:rsid w:val="00D45FE5"/>
    <w:rsid w:val="00D54018"/>
    <w:rsid w:val="00D540EF"/>
    <w:rsid w:val="00D61016"/>
    <w:rsid w:val="00D67ED1"/>
    <w:rsid w:val="00D7449F"/>
    <w:rsid w:val="00D757AC"/>
    <w:rsid w:val="00D804EE"/>
    <w:rsid w:val="00D82C32"/>
    <w:rsid w:val="00D9015F"/>
    <w:rsid w:val="00D92BA2"/>
    <w:rsid w:val="00D93226"/>
    <w:rsid w:val="00D94C16"/>
    <w:rsid w:val="00D94DEF"/>
    <w:rsid w:val="00DA24B3"/>
    <w:rsid w:val="00DA27AB"/>
    <w:rsid w:val="00DA7CC7"/>
    <w:rsid w:val="00DB3FE6"/>
    <w:rsid w:val="00DB5881"/>
    <w:rsid w:val="00DB5F9D"/>
    <w:rsid w:val="00DB7BFA"/>
    <w:rsid w:val="00DC4E1A"/>
    <w:rsid w:val="00DD6E62"/>
    <w:rsid w:val="00DD7390"/>
    <w:rsid w:val="00DE4AA5"/>
    <w:rsid w:val="00DE74B4"/>
    <w:rsid w:val="00DF79D5"/>
    <w:rsid w:val="00E06828"/>
    <w:rsid w:val="00E15FA6"/>
    <w:rsid w:val="00E171B8"/>
    <w:rsid w:val="00E211FE"/>
    <w:rsid w:val="00E21EF7"/>
    <w:rsid w:val="00E55586"/>
    <w:rsid w:val="00E67F4F"/>
    <w:rsid w:val="00E83BF8"/>
    <w:rsid w:val="00EA0176"/>
    <w:rsid w:val="00EA2508"/>
    <w:rsid w:val="00EA37B9"/>
    <w:rsid w:val="00EA4503"/>
    <w:rsid w:val="00EB35D9"/>
    <w:rsid w:val="00EC6B9D"/>
    <w:rsid w:val="00ED6195"/>
    <w:rsid w:val="00EF1F8E"/>
    <w:rsid w:val="00F02CF7"/>
    <w:rsid w:val="00F038FC"/>
    <w:rsid w:val="00F04D1A"/>
    <w:rsid w:val="00F06A97"/>
    <w:rsid w:val="00F165E0"/>
    <w:rsid w:val="00F31108"/>
    <w:rsid w:val="00F34865"/>
    <w:rsid w:val="00F35927"/>
    <w:rsid w:val="00F44747"/>
    <w:rsid w:val="00F51775"/>
    <w:rsid w:val="00F526E6"/>
    <w:rsid w:val="00F546FE"/>
    <w:rsid w:val="00F55E24"/>
    <w:rsid w:val="00F67DE9"/>
    <w:rsid w:val="00F82BAA"/>
    <w:rsid w:val="00F845AC"/>
    <w:rsid w:val="00F87A8B"/>
    <w:rsid w:val="00F939D1"/>
    <w:rsid w:val="00F94095"/>
    <w:rsid w:val="00F94551"/>
    <w:rsid w:val="00F94914"/>
    <w:rsid w:val="00F95AC7"/>
    <w:rsid w:val="00FA2AC4"/>
    <w:rsid w:val="00FA3AF5"/>
    <w:rsid w:val="00FB5CA9"/>
    <w:rsid w:val="00FB707E"/>
    <w:rsid w:val="00FB7344"/>
    <w:rsid w:val="00FC227C"/>
    <w:rsid w:val="00FC29F3"/>
    <w:rsid w:val="00FC5DE1"/>
    <w:rsid w:val="00FC6925"/>
    <w:rsid w:val="00FD0124"/>
    <w:rsid w:val="00FD15D6"/>
    <w:rsid w:val="00FD476F"/>
    <w:rsid w:val="00FD51A5"/>
    <w:rsid w:val="00FE3C79"/>
    <w:rsid w:val="00FE5545"/>
    <w:rsid w:val="00FE74FA"/>
    <w:rsid w:val="00FE7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8540D"/>
  <w15:chartTrackingRefBased/>
  <w15:docId w15:val="{19B71F69-078A-4068-8CD7-B3062FF0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CA"/>
  </w:style>
  <w:style w:type="paragraph" w:styleId="Heading1">
    <w:name w:val="heading 1"/>
    <w:basedOn w:val="Normal"/>
    <w:next w:val="Normal"/>
    <w:link w:val="Heading1Char"/>
    <w:uiPriority w:val="9"/>
    <w:qFormat/>
    <w:rsid w:val="006610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26E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15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91"/>
    <w:rPr>
      <w:rFonts w:ascii="Segoe UI" w:hAnsi="Segoe UI" w:cs="Segoe UI"/>
      <w:sz w:val="18"/>
      <w:szCs w:val="18"/>
    </w:rPr>
  </w:style>
  <w:style w:type="character" w:customStyle="1" w:styleId="Heading1Char">
    <w:name w:val="Heading 1 Char"/>
    <w:basedOn w:val="DefaultParagraphFont"/>
    <w:link w:val="Heading1"/>
    <w:uiPriority w:val="9"/>
    <w:rsid w:val="0066109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61091"/>
    <w:pPr>
      <w:ind w:left="720"/>
      <w:contextualSpacing/>
    </w:pPr>
  </w:style>
  <w:style w:type="character" w:customStyle="1" w:styleId="Heading2Char">
    <w:name w:val="Heading 2 Char"/>
    <w:basedOn w:val="DefaultParagraphFont"/>
    <w:link w:val="Heading2"/>
    <w:uiPriority w:val="9"/>
    <w:rsid w:val="00B26E7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C151F"/>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A03BA"/>
    <w:pPr>
      <w:outlineLvl w:val="9"/>
    </w:pPr>
    <w:rPr>
      <w:lang w:val="en-US"/>
    </w:rPr>
  </w:style>
  <w:style w:type="paragraph" w:styleId="TOC1">
    <w:name w:val="toc 1"/>
    <w:basedOn w:val="Normal"/>
    <w:next w:val="Normal"/>
    <w:autoRedefine/>
    <w:uiPriority w:val="39"/>
    <w:unhideWhenUsed/>
    <w:rsid w:val="008A03BA"/>
    <w:pPr>
      <w:spacing w:after="100"/>
    </w:pPr>
  </w:style>
  <w:style w:type="paragraph" w:styleId="TOC2">
    <w:name w:val="toc 2"/>
    <w:basedOn w:val="Normal"/>
    <w:next w:val="Normal"/>
    <w:autoRedefine/>
    <w:uiPriority w:val="39"/>
    <w:unhideWhenUsed/>
    <w:rsid w:val="008A03BA"/>
    <w:pPr>
      <w:spacing w:after="100"/>
      <w:ind w:left="220"/>
    </w:pPr>
  </w:style>
  <w:style w:type="paragraph" w:styleId="TOC3">
    <w:name w:val="toc 3"/>
    <w:basedOn w:val="Normal"/>
    <w:next w:val="Normal"/>
    <w:autoRedefine/>
    <w:uiPriority w:val="39"/>
    <w:unhideWhenUsed/>
    <w:rsid w:val="008A03BA"/>
    <w:pPr>
      <w:spacing w:after="100"/>
      <w:ind w:left="440"/>
    </w:pPr>
  </w:style>
  <w:style w:type="character" w:styleId="Hyperlink">
    <w:name w:val="Hyperlink"/>
    <w:basedOn w:val="DefaultParagraphFont"/>
    <w:uiPriority w:val="99"/>
    <w:unhideWhenUsed/>
    <w:rsid w:val="008A03BA"/>
    <w:rPr>
      <w:color w:val="0563C1" w:themeColor="hyperlink"/>
      <w:u w:val="single"/>
    </w:rPr>
  </w:style>
  <w:style w:type="table" w:customStyle="1" w:styleId="TableGrid1">
    <w:name w:val="Table Grid1"/>
    <w:basedOn w:val="TableNormal"/>
    <w:next w:val="TableGrid"/>
    <w:uiPriority w:val="39"/>
    <w:rsid w:val="00BE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4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41B0"/>
    <w:pPr>
      <w:spacing w:after="200" w:line="240" w:lineRule="auto"/>
    </w:pPr>
    <w:rPr>
      <w:i/>
      <w:iCs/>
      <w:color w:val="44546A" w:themeColor="text2"/>
      <w:sz w:val="18"/>
      <w:szCs w:val="18"/>
    </w:rPr>
  </w:style>
  <w:style w:type="table" w:styleId="GridTable4-Accent6">
    <w:name w:val="Grid Table 4 Accent 6"/>
    <w:basedOn w:val="TableNormal"/>
    <w:uiPriority w:val="49"/>
    <w:rsid w:val="001957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614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4F7"/>
  </w:style>
  <w:style w:type="paragraph" w:styleId="Footer">
    <w:name w:val="footer"/>
    <w:basedOn w:val="Normal"/>
    <w:link w:val="FooterChar"/>
    <w:uiPriority w:val="99"/>
    <w:unhideWhenUsed/>
    <w:rsid w:val="006614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4F7"/>
  </w:style>
  <w:style w:type="character" w:styleId="CommentReference">
    <w:name w:val="annotation reference"/>
    <w:basedOn w:val="DefaultParagraphFont"/>
    <w:uiPriority w:val="99"/>
    <w:semiHidden/>
    <w:unhideWhenUsed/>
    <w:rsid w:val="000C2C49"/>
    <w:rPr>
      <w:sz w:val="16"/>
      <w:szCs w:val="16"/>
    </w:rPr>
  </w:style>
  <w:style w:type="paragraph" w:styleId="CommentText">
    <w:name w:val="annotation text"/>
    <w:basedOn w:val="Normal"/>
    <w:link w:val="CommentTextChar"/>
    <w:uiPriority w:val="99"/>
    <w:unhideWhenUsed/>
    <w:rsid w:val="000C2C49"/>
    <w:pPr>
      <w:spacing w:line="240" w:lineRule="auto"/>
    </w:pPr>
    <w:rPr>
      <w:sz w:val="20"/>
      <w:szCs w:val="20"/>
    </w:rPr>
  </w:style>
  <w:style w:type="character" w:customStyle="1" w:styleId="CommentTextChar">
    <w:name w:val="Comment Text Char"/>
    <w:basedOn w:val="DefaultParagraphFont"/>
    <w:link w:val="CommentText"/>
    <w:uiPriority w:val="99"/>
    <w:rsid w:val="000C2C49"/>
    <w:rPr>
      <w:sz w:val="20"/>
      <w:szCs w:val="20"/>
    </w:rPr>
  </w:style>
  <w:style w:type="paragraph" w:styleId="CommentSubject">
    <w:name w:val="annotation subject"/>
    <w:basedOn w:val="CommentText"/>
    <w:next w:val="CommentText"/>
    <w:link w:val="CommentSubjectChar"/>
    <w:uiPriority w:val="99"/>
    <w:semiHidden/>
    <w:unhideWhenUsed/>
    <w:rsid w:val="000C2C49"/>
    <w:rPr>
      <w:b/>
      <w:bCs/>
    </w:rPr>
  </w:style>
  <w:style w:type="character" w:customStyle="1" w:styleId="CommentSubjectChar">
    <w:name w:val="Comment Subject Char"/>
    <w:basedOn w:val="CommentTextChar"/>
    <w:link w:val="CommentSubject"/>
    <w:uiPriority w:val="99"/>
    <w:semiHidden/>
    <w:rsid w:val="000C2C49"/>
    <w:rPr>
      <w:b/>
      <w:bCs/>
      <w:sz w:val="20"/>
      <w:szCs w:val="20"/>
    </w:rPr>
  </w:style>
  <w:style w:type="table" w:styleId="ListTable3">
    <w:name w:val="List Table 3"/>
    <w:basedOn w:val="TableNormal"/>
    <w:uiPriority w:val="48"/>
    <w:rsid w:val="0051512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6429">
      <w:bodyDiv w:val="1"/>
      <w:marLeft w:val="0"/>
      <w:marRight w:val="0"/>
      <w:marTop w:val="0"/>
      <w:marBottom w:val="0"/>
      <w:divBdr>
        <w:top w:val="none" w:sz="0" w:space="0" w:color="auto"/>
        <w:left w:val="none" w:sz="0" w:space="0" w:color="auto"/>
        <w:bottom w:val="none" w:sz="0" w:space="0" w:color="auto"/>
        <w:right w:val="none" w:sz="0" w:space="0" w:color="auto"/>
      </w:divBdr>
    </w:div>
    <w:div w:id="312755648">
      <w:bodyDiv w:val="1"/>
      <w:marLeft w:val="0"/>
      <w:marRight w:val="0"/>
      <w:marTop w:val="0"/>
      <w:marBottom w:val="0"/>
      <w:divBdr>
        <w:top w:val="none" w:sz="0" w:space="0" w:color="auto"/>
        <w:left w:val="none" w:sz="0" w:space="0" w:color="auto"/>
        <w:bottom w:val="none" w:sz="0" w:space="0" w:color="auto"/>
        <w:right w:val="none" w:sz="0" w:space="0" w:color="auto"/>
      </w:divBdr>
    </w:div>
    <w:div w:id="469711865">
      <w:bodyDiv w:val="1"/>
      <w:marLeft w:val="0"/>
      <w:marRight w:val="0"/>
      <w:marTop w:val="0"/>
      <w:marBottom w:val="0"/>
      <w:divBdr>
        <w:top w:val="none" w:sz="0" w:space="0" w:color="auto"/>
        <w:left w:val="none" w:sz="0" w:space="0" w:color="auto"/>
        <w:bottom w:val="none" w:sz="0" w:space="0" w:color="auto"/>
        <w:right w:val="none" w:sz="0" w:space="0" w:color="auto"/>
      </w:divBdr>
    </w:div>
    <w:div w:id="976253778">
      <w:bodyDiv w:val="1"/>
      <w:marLeft w:val="0"/>
      <w:marRight w:val="0"/>
      <w:marTop w:val="0"/>
      <w:marBottom w:val="0"/>
      <w:divBdr>
        <w:top w:val="none" w:sz="0" w:space="0" w:color="auto"/>
        <w:left w:val="none" w:sz="0" w:space="0" w:color="auto"/>
        <w:bottom w:val="none" w:sz="0" w:space="0" w:color="auto"/>
        <w:right w:val="none" w:sz="0" w:space="0" w:color="auto"/>
      </w:divBdr>
    </w:div>
    <w:div w:id="982274309">
      <w:bodyDiv w:val="1"/>
      <w:marLeft w:val="0"/>
      <w:marRight w:val="0"/>
      <w:marTop w:val="0"/>
      <w:marBottom w:val="0"/>
      <w:divBdr>
        <w:top w:val="none" w:sz="0" w:space="0" w:color="auto"/>
        <w:left w:val="none" w:sz="0" w:space="0" w:color="auto"/>
        <w:bottom w:val="none" w:sz="0" w:space="0" w:color="auto"/>
        <w:right w:val="none" w:sz="0" w:space="0" w:color="auto"/>
      </w:divBdr>
    </w:div>
    <w:div w:id="1081607237">
      <w:bodyDiv w:val="1"/>
      <w:marLeft w:val="0"/>
      <w:marRight w:val="0"/>
      <w:marTop w:val="0"/>
      <w:marBottom w:val="0"/>
      <w:divBdr>
        <w:top w:val="none" w:sz="0" w:space="0" w:color="auto"/>
        <w:left w:val="none" w:sz="0" w:space="0" w:color="auto"/>
        <w:bottom w:val="none" w:sz="0" w:space="0" w:color="auto"/>
        <w:right w:val="none" w:sz="0" w:space="0" w:color="auto"/>
      </w:divBdr>
    </w:div>
    <w:div w:id="12289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180A-9957-47F1-92B1-BB31A4DD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Bella Guinto</dc:creator>
  <cp:keywords/>
  <dc:description/>
  <cp:lastModifiedBy>Julie Pillet</cp:lastModifiedBy>
  <cp:revision>98</cp:revision>
  <dcterms:created xsi:type="dcterms:W3CDTF">2024-04-02T00:42:00Z</dcterms:created>
  <dcterms:modified xsi:type="dcterms:W3CDTF">2024-06-03T21:50:00Z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ae224cb0882241eb74395a261b58fa8b525b2540e959d1dde250c65b51f17bcd</vt:lpwstr>
  </property>
</Properties>
</file>