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1C17" w14:textId="6E6D5F6B" w:rsidR="00441561" w:rsidRPr="000761F4" w:rsidRDefault="00C40F2A" w:rsidP="000761F4">
      <w:pPr>
        <w:spacing w:before="100" w:beforeAutospacing="1" w:after="100" w:afterAutospacing="1" w:line="360" w:lineRule="auto"/>
        <w:jc w:val="center"/>
        <w:outlineLvl w:val="1"/>
        <w:rPr>
          <w:rFonts w:ascii="Times New Roman" w:eastAsia="Times New Roman" w:hAnsi="Times New Roman" w:cs="Times New Roman"/>
          <w:kern w:val="0"/>
          <w:sz w:val="36"/>
          <w:szCs w:val="36"/>
          <w:lang w:eastAsia="en-AU"/>
          <w14:ligatures w14:val="none"/>
        </w:rPr>
      </w:pPr>
      <w:bookmarkStart w:id="0" w:name="_Toc198652232"/>
      <w:r w:rsidRPr="000761F4">
        <w:rPr>
          <w:rFonts w:ascii="Times New Roman" w:eastAsia="Times New Roman" w:hAnsi="Times New Roman" w:cs="Times New Roman"/>
          <w:kern w:val="36"/>
          <w:sz w:val="36"/>
          <w:szCs w:val="36"/>
          <w:lang w:eastAsia="en-AU"/>
          <w14:ligatures w14:val="none"/>
        </w:rPr>
        <w:t xml:space="preserve">SPREP North Pacific </w:t>
      </w:r>
      <w:r w:rsidR="00900500" w:rsidRPr="000761F4">
        <w:rPr>
          <w:rFonts w:ascii="Times New Roman" w:eastAsia="Times New Roman" w:hAnsi="Times New Roman" w:cs="Times New Roman"/>
          <w:kern w:val="36"/>
          <w:sz w:val="36"/>
          <w:szCs w:val="36"/>
          <w:lang w:eastAsia="en-AU"/>
          <w14:ligatures w14:val="none"/>
        </w:rPr>
        <w:t xml:space="preserve">Office </w:t>
      </w:r>
      <w:r w:rsidR="00441561" w:rsidRPr="000761F4">
        <w:rPr>
          <w:rFonts w:ascii="Times New Roman" w:eastAsia="Times New Roman" w:hAnsi="Times New Roman" w:cs="Times New Roman"/>
          <w:kern w:val="0"/>
          <w:sz w:val="36"/>
          <w:szCs w:val="36"/>
          <w:lang w:eastAsia="en-AU"/>
          <w14:ligatures w14:val="none"/>
        </w:rPr>
        <w:t>Climate Finance Engagement Strategy (Sub-Regional Members)</w:t>
      </w:r>
      <w:bookmarkEnd w:id="0"/>
    </w:p>
    <w:p w14:paraId="76E09EE5" w14:textId="70E30806" w:rsidR="00557DFB" w:rsidRDefault="00557DFB" w:rsidP="000761F4">
      <w:pPr>
        <w:spacing w:before="100" w:beforeAutospacing="1" w:after="100" w:afterAutospacing="1" w:line="360" w:lineRule="auto"/>
        <w:jc w:val="center"/>
        <w:outlineLvl w:val="0"/>
        <w:rPr>
          <w:rFonts w:ascii="Times New Roman" w:eastAsia="Times New Roman" w:hAnsi="Times New Roman" w:cs="Times New Roman"/>
          <w:i/>
          <w:iCs/>
          <w:kern w:val="36"/>
          <w:lang w:eastAsia="en-AU"/>
          <w14:ligatures w14:val="none"/>
        </w:rPr>
      </w:pPr>
      <w:bookmarkStart w:id="1" w:name="_Toc198652233"/>
      <w:r w:rsidRPr="00557DFB">
        <w:rPr>
          <w:rFonts w:ascii="Times New Roman" w:eastAsia="Times New Roman" w:hAnsi="Times New Roman" w:cs="Times New Roman"/>
          <w:i/>
          <w:iCs/>
          <w:kern w:val="36"/>
          <w:lang w:eastAsia="en-AU"/>
          <w14:ligatures w14:val="none"/>
        </w:rPr>
        <w:t>May 2025</w:t>
      </w:r>
      <w:bookmarkEnd w:id="1"/>
      <w:r w:rsidR="0057420B">
        <w:rPr>
          <w:rFonts w:ascii="Times New Roman" w:eastAsia="Times New Roman" w:hAnsi="Times New Roman" w:cs="Times New Roman"/>
          <w:i/>
          <w:iCs/>
          <w:kern w:val="36"/>
          <w:lang w:eastAsia="en-AU"/>
          <w14:ligatures w14:val="none"/>
        </w:rPr>
        <w:t xml:space="preserve"> - Draft</w:t>
      </w:r>
    </w:p>
    <w:sdt>
      <w:sdtPr>
        <w:rPr>
          <w:rFonts w:asciiTheme="minorHAnsi" w:eastAsiaTheme="minorHAnsi" w:hAnsiTheme="minorHAnsi" w:cstheme="minorBidi"/>
          <w:color w:val="auto"/>
          <w:kern w:val="2"/>
          <w:sz w:val="24"/>
          <w:szCs w:val="24"/>
          <w:lang w:val="en-AU"/>
          <w14:ligatures w14:val="standardContextual"/>
        </w:rPr>
        <w:id w:val="601611755"/>
        <w:docPartObj>
          <w:docPartGallery w:val="Table of Contents"/>
          <w:docPartUnique/>
        </w:docPartObj>
      </w:sdtPr>
      <w:sdtEndPr>
        <w:rPr>
          <w:b/>
          <w:bCs/>
          <w:noProof/>
        </w:rPr>
      </w:sdtEndPr>
      <w:sdtContent>
        <w:p w14:paraId="4BE654F0" w14:textId="78A2A055" w:rsidR="000761F4" w:rsidRPr="000761F4" w:rsidRDefault="000761F4" w:rsidP="000761F4">
          <w:pPr>
            <w:pStyle w:val="TOCHeading"/>
            <w:jc w:val="center"/>
            <w:rPr>
              <w:rFonts w:ascii="Times New Roman" w:eastAsia="Times New Roman" w:hAnsi="Times New Roman" w:cs="Times New Roman"/>
              <w:color w:val="auto"/>
              <w:lang w:val="en-AU" w:eastAsia="en-AU"/>
            </w:rPr>
          </w:pPr>
          <w:r w:rsidRPr="000761F4">
            <w:rPr>
              <w:rFonts w:ascii="Times New Roman" w:eastAsia="Times New Roman" w:hAnsi="Times New Roman" w:cs="Times New Roman"/>
              <w:color w:val="auto"/>
              <w:lang w:val="en-AU" w:eastAsia="en-AU"/>
            </w:rPr>
            <w:t>Table of Contents</w:t>
          </w:r>
        </w:p>
        <w:p w14:paraId="6DD20283" w14:textId="225E3997" w:rsidR="000761F4" w:rsidRDefault="000761F4">
          <w:pPr>
            <w:pStyle w:val="TOC2"/>
            <w:tabs>
              <w:tab w:val="right" w:leader="dot" w:pos="9016"/>
            </w:tabs>
            <w:rPr>
              <w:noProof/>
            </w:rPr>
          </w:pPr>
          <w:r>
            <w:fldChar w:fldCharType="begin"/>
          </w:r>
          <w:r>
            <w:instrText xml:space="preserve"> TOC \o "1-3" \h \z \u </w:instrText>
          </w:r>
          <w:r>
            <w:fldChar w:fldCharType="separate"/>
          </w:r>
          <w:hyperlink w:anchor="_Toc198652232" w:history="1">
            <w:r w:rsidR="00DC329B" w:rsidRPr="00DC329B">
              <w:rPr>
                <w:rStyle w:val="Hyperlink"/>
              </w:rPr>
              <w:t>_Toc198652232</w:t>
            </w:r>
          </w:hyperlink>
        </w:p>
        <w:p w14:paraId="11186EC5" w14:textId="4063F51E" w:rsidR="000761F4" w:rsidRDefault="000761F4">
          <w:pPr>
            <w:pStyle w:val="TOC3"/>
            <w:tabs>
              <w:tab w:val="left" w:pos="960"/>
              <w:tab w:val="right" w:leader="dot" w:pos="9016"/>
            </w:tabs>
            <w:rPr>
              <w:noProof/>
            </w:rPr>
          </w:pPr>
          <w:hyperlink w:anchor="_Toc198652234" w:history="1">
            <w:r w:rsidRPr="00D75F16">
              <w:rPr>
                <w:rStyle w:val="Hyperlink"/>
                <w:rFonts w:ascii="Times New Roman" w:eastAsia="Times New Roman" w:hAnsi="Times New Roman" w:cs="Times New Roman"/>
                <w:noProof/>
                <w:kern w:val="0"/>
                <w:lang w:eastAsia="en-AU"/>
                <w14:ligatures w14:val="none"/>
              </w:rPr>
              <w:t>1.</w:t>
            </w:r>
            <w:r>
              <w:rPr>
                <w:noProof/>
              </w:rPr>
              <w:tab/>
            </w:r>
            <w:r w:rsidRPr="00D75F16">
              <w:rPr>
                <w:rStyle w:val="Hyperlink"/>
                <w:rFonts w:ascii="Times New Roman" w:eastAsia="Times New Roman" w:hAnsi="Times New Roman" w:cs="Times New Roman"/>
                <w:noProof/>
                <w:kern w:val="0"/>
                <w:lang w:eastAsia="en-AU"/>
                <w14:ligatures w14:val="none"/>
              </w:rPr>
              <w:t>Introduction and Goal</w:t>
            </w:r>
            <w:r>
              <w:rPr>
                <w:noProof/>
                <w:webHidden/>
              </w:rPr>
              <w:tab/>
            </w:r>
            <w:r>
              <w:rPr>
                <w:noProof/>
                <w:webHidden/>
              </w:rPr>
              <w:fldChar w:fldCharType="begin"/>
            </w:r>
            <w:r>
              <w:rPr>
                <w:noProof/>
                <w:webHidden/>
              </w:rPr>
              <w:instrText xml:space="preserve"> PAGEREF _Toc198652234 \h </w:instrText>
            </w:r>
            <w:r>
              <w:rPr>
                <w:noProof/>
                <w:webHidden/>
              </w:rPr>
            </w:r>
            <w:r>
              <w:rPr>
                <w:noProof/>
                <w:webHidden/>
              </w:rPr>
              <w:fldChar w:fldCharType="separate"/>
            </w:r>
            <w:r w:rsidR="00DC329B">
              <w:rPr>
                <w:noProof/>
                <w:webHidden/>
              </w:rPr>
              <w:t>2</w:t>
            </w:r>
            <w:r>
              <w:rPr>
                <w:noProof/>
                <w:webHidden/>
              </w:rPr>
              <w:fldChar w:fldCharType="end"/>
            </w:r>
          </w:hyperlink>
        </w:p>
        <w:p w14:paraId="715E35DC" w14:textId="7567FE39" w:rsidR="000761F4" w:rsidRDefault="000761F4">
          <w:pPr>
            <w:pStyle w:val="TOC3"/>
            <w:tabs>
              <w:tab w:val="left" w:pos="960"/>
              <w:tab w:val="right" w:leader="dot" w:pos="9016"/>
            </w:tabs>
            <w:rPr>
              <w:noProof/>
            </w:rPr>
          </w:pPr>
          <w:hyperlink w:anchor="_Toc198652235" w:history="1">
            <w:r w:rsidRPr="00D75F16">
              <w:rPr>
                <w:rStyle w:val="Hyperlink"/>
                <w:rFonts w:ascii="Times New Roman" w:eastAsia="Times New Roman" w:hAnsi="Times New Roman" w:cs="Times New Roman"/>
                <w:noProof/>
                <w:kern w:val="0"/>
                <w:lang w:eastAsia="en-AU"/>
                <w14:ligatures w14:val="none"/>
              </w:rPr>
              <w:t>2.</w:t>
            </w:r>
            <w:r>
              <w:rPr>
                <w:noProof/>
              </w:rPr>
              <w:tab/>
            </w:r>
            <w:r w:rsidRPr="00D75F16">
              <w:rPr>
                <w:rStyle w:val="Hyperlink"/>
                <w:rFonts w:ascii="Times New Roman" w:eastAsia="Times New Roman" w:hAnsi="Times New Roman" w:cs="Times New Roman"/>
                <w:noProof/>
                <w:kern w:val="0"/>
                <w:lang w:eastAsia="en-AU"/>
                <w14:ligatures w14:val="none"/>
              </w:rPr>
              <w:t>Rationale for a North Pacific Climate Finance Engagement Strategy</w:t>
            </w:r>
            <w:r>
              <w:rPr>
                <w:noProof/>
                <w:webHidden/>
              </w:rPr>
              <w:tab/>
            </w:r>
            <w:r>
              <w:rPr>
                <w:noProof/>
                <w:webHidden/>
              </w:rPr>
              <w:fldChar w:fldCharType="begin"/>
            </w:r>
            <w:r>
              <w:rPr>
                <w:noProof/>
                <w:webHidden/>
              </w:rPr>
              <w:instrText xml:space="preserve"> PAGEREF _Toc198652235 \h </w:instrText>
            </w:r>
            <w:r>
              <w:rPr>
                <w:noProof/>
                <w:webHidden/>
              </w:rPr>
            </w:r>
            <w:r>
              <w:rPr>
                <w:noProof/>
                <w:webHidden/>
              </w:rPr>
              <w:fldChar w:fldCharType="separate"/>
            </w:r>
            <w:r w:rsidR="00DC329B">
              <w:rPr>
                <w:noProof/>
                <w:webHidden/>
              </w:rPr>
              <w:t>2</w:t>
            </w:r>
            <w:r>
              <w:rPr>
                <w:noProof/>
                <w:webHidden/>
              </w:rPr>
              <w:fldChar w:fldCharType="end"/>
            </w:r>
          </w:hyperlink>
        </w:p>
        <w:p w14:paraId="46451EE6" w14:textId="70D3F624" w:rsidR="000761F4" w:rsidRDefault="000761F4">
          <w:pPr>
            <w:pStyle w:val="TOC3"/>
            <w:tabs>
              <w:tab w:val="left" w:pos="960"/>
              <w:tab w:val="right" w:leader="dot" w:pos="9016"/>
            </w:tabs>
            <w:rPr>
              <w:noProof/>
            </w:rPr>
          </w:pPr>
          <w:hyperlink w:anchor="_Toc198652236" w:history="1">
            <w:r w:rsidRPr="00D75F16">
              <w:rPr>
                <w:rStyle w:val="Hyperlink"/>
                <w:rFonts w:ascii="Times New Roman" w:eastAsia="Times New Roman" w:hAnsi="Times New Roman" w:cs="Times New Roman"/>
                <w:noProof/>
                <w:kern w:val="0"/>
                <w:lang w:eastAsia="en-AU"/>
                <w14:ligatures w14:val="none"/>
              </w:rPr>
              <w:t>3.</w:t>
            </w:r>
            <w:r>
              <w:rPr>
                <w:noProof/>
              </w:rPr>
              <w:tab/>
            </w:r>
            <w:r w:rsidRPr="00D75F16">
              <w:rPr>
                <w:rStyle w:val="Hyperlink"/>
                <w:rFonts w:ascii="Times New Roman" w:eastAsia="Times New Roman" w:hAnsi="Times New Roman" w:cs="Times New Roman"/>
                <w:noProof/>
                <w:kern w:val="0"/>
                <w:lang w:eastAsia="en-AU"/>
                <w14:ligatures w14:val="none"/>
              </w:rPr>
              <w:t>Background: SPREP’s Presence and Activities in the North Pacific</w:t>
            </w:r>
            <w:r>
              <w:rPr>
                <w:noProof/>
                <w:webHidden/>
              </w:rPr>
              <w:tab/>
            </w:r>
            <w:r>
              <w:rPr>
                <w:noProof/>
                <w:webHidden/>
              </w:rPr>
              <w:fldChar w:fldCharType="begin"/>
            </w:r>
            <w:r>
              <w:rPr>
                <w:noProof/>
                <w:webHidden/>
              </w:rPr>
              <w:instrText xml:space="preserve"> PAGEREF _Toc198652236 \h </w:instrText>
            </w:r>
            <w:r>
              <w:rPr>
                <w:noProof/>
                <w:webHidden/>
              </w:rPr>
            </w:r>
            <w:r>
              <w:rPr>
                <w:noProof/>
                <w:webHidden/>
              </w:rPr>
              <w:fldChar w:fldCharType="separate"/>
            </w:r>
            <w:r w:rsidR="00DC329B">
              <w:rPr>
                <w:noProof/>
                <w:webHidden/>
              </w:rPr>
              <w:t>3</w:t>
            </w:r>
            <w:r>
              <w:rPr>
                <w:noProof/>
                <w:webHidden/>
              </w:rPr>
              <w:fldChar w:fldCharType="end"/>
            </w:r>
          </w:hyperlink>
        </w:p>
        <w:p w14:paraId="64BF3FA2" w14:textId="1C02D337" w:rsidR="000761F4" w:rsidRDefault="000761F4">
          <w:pPr>
            <w:pStyle w:val="TOC3"/>
            <w:tabs>
              <w:tab w:val="left" w:pos="960"/>
              <w:tab w:val="right" w:leader="dot" w:pos="9016"/>
            </w:tabs>
            <w:rPr>
              <w:noProof/>
            </w:rPr>
          </w:pPr>
          <w:hyperlink w:anchor="_Toc198652237" w:history="1">
            <w:r w:rsidRPr="00D75F16">
              <w:rPr>
                <w:rStyle w:val="Hyperlink"/>
                <w:rFonts w:ascii="Times New Roman" w:eastAsia="Times New Roman" w:hAnsi="Times New Roman" w:cs="Times New Roman"/>
                <w:noProof/>
                <w:kern w:val="0"/>
                <w:lang w:eastAsia="en-AU"/>
                <w14:ligatures w14:val="none"/>
              </w:rPr>
              <w:t>4.</w:t>
            </w:r>
            <w:r>
              <w:rPr>
                <w:noProof/>
              </w:rPr>
              <w:tab/>
            </w:r>
            <w:r w:rsidRPr="00D75F16">
              <w:rPr>
                <w:rStyle w:val="Hyperlink"/>
                <w:rFonts w:ascii="Times New Roman" w:eastAsia="Times New Roman" w:hAnsi="Times New Roman" w:cs="Times New Roman"/>
                <w:noProof/>
                <w:kern w:val="0"/>
                <w:lang w:eastAsia="en-AU"/>
                <w14:ligatures w14:val="none"/>
              </w:rPr>
              <w:t>Strategic Engagement Framework for the North Pacific</w:t>
            </w:r>
            <w:r>
              <w:rPr>
                <w:noProof/>
                <w:webHidden/>
              </w:rPr>
              <w:tab/>
            </w:r>
            <w:r>
              <w:rPr>
                <w:noProof/>
                <w:webHidden/>
              </w:rPr>
              <w:fldChar w:fldCharType="begin"/>
            </w:r>
            <w:r>
              <w:rPr>
                <w:noProof/>
                <w:webHidden/>
              </w:rPr>
              <w:instrText xml:space="preserve"> PAGEREF _Toc198652237 \h </w:instrText>
            </w:r>
            <w:r>
              <w:rPr>
                <w:noProof/>
                <w:webHidden/>
              </w:rPr>
            </w:r>
            <w:r>
              <w:rPr>
                <w:noProof/>
                <w:webHidden/>
              </w:rPr>
              <w:fldChar w:fldCharType="separate"/>
            </w:r>
            <w:r w:rsidR="00DC329B">
              <w:rPr>
                <w:noProof/>
                <w:webHidden/>
              </w:rPr>
              <w:t>7</w:t>
            </w:r>
            <w:r>
              <w:rPr>
                <w:noProof/>
                <w:webHidden/>
              </w:rPr>
              <w:fldChar w:fldCharType="end"/>
            </w:r>
          </w:hyperlink>
        </w:p>
        <w:p w14:paraId="17F92124" w14:textId="7B95EAEA" w:rsidR="000761F4" w:rsidRPr="000761F4" w:rsidRDefault="000761F4">
          <w:pPr>
            <w:pStyle w:val="TOC3"/>
            <w:tabs>
              <w:tab w:val="left" w:pos="1200"/>
              <w:tab w:val="right" w:leader="dot" w:pos="9016"/>
            </w:tabs>
            <w:rPr>
              <w:noProof/>
            </w:rPr>
          </w:pPr>
          <w:hyperlink w:anchor="_Toc198652238" w:history="1">
            <w:r w:rsidRPr="000761F4">
              <w:rPr>
                <w:rStyle w:val="Hyperlink"/>
                <w:rFonts w:ascii="Times New Roman" w:eastAsia="Times New Roman" w:hAnsi="Times New Roman" w:cs="Times New Roman"/>
                <w:noProof/>
                <w:kern w:val="0"/>
                <w:lang w:eastAsia="en-AU"/>
                <w14:ligatures w14:val="none"/>
              </w:rPr>
              <w:t>4.1.</w:t>
            </w:r>
            <w:r w:rsidRPr="000761F4">
              <w:rPr>
                <w:noProof/>
              </w:rPr>
              <w:tab/>
            </w:r>
            <w:r w:rsidRPr="000761F4">
              <w:rPr>
                <w:rStyle w:val="Hyperlink"/>
                <w:rFonts w:ascii="Times New Roman" w:eastAsia="Times New Roman" w:hAnsi="Times New Roman" w:cs="Times New Roman"/>
                <w:noProof/>
                <w:kern w:val="0"/>
                <w:lang w:eastAsia="en-AU"/>
                <w14:ligatures w14:val="none"/>
              </w:rPr>
              <w:t>SPREP North Pacific Office Coordination and Institutional Roles</w:t>
            </w:r>
            <w:r w:rsidRPr="000761F4">
              <w:rPr>
                <w:noProof/>
                <w:webHidden/>
              </w:rPr>
              <w:tab/>
            </w:r>
            <w:r w:rsidRPr="000761F4">
              <w:rPr>
                <w:noProof/>
                <w:webHidden/>
              </w:rPr>
              <w:fldChar w:fldCharType="begin"/>
            </w:r>
            <w:r w:rsidRPr="000761F4">
              <w:rPr>
                <w:noProof/>
                <w:webHidden/>
              </w:rPr>
              <w:instrText xml:space="preserve"> PAGEREF _Toc198652238 \h </w:instrText>
            </w:r>
            <w:r w:rsidRPr="000761F4">
              <w:rPr>
                <w:noProof/>
                <w:webHidden/>
              </w:rPr>
            </w:r>
            <w:r w:rsidRPr="000761F4">
              <w:rPr>
                <w:noProof/>
                <w:webHidden/>
              </w:rPr>
              <w:fldChar w:fldCharType="separate"/>
            </w:r>
            <w:r w:rsidR="00DC329B">
              <w:rPr>
                <w:noProof/>
                <w:webHidden/>
              </w:rPr>
              <w:t>7</w:t>
            </w:r>
            <w:r w:rsidRPr="000761F4">
              <w:rPr>
                <w:noProof/>
                <w:webHidden/>
              </w:rPr>
              <w:fldChar w:fldCharType="end"/>
            </w:r>
          </w:hyperlink>
        </w:p>
        <w:p w14:paraId="4B791C26" w14:textId="1CE81BDC" w:rsidR="000761F4" w:rsidRPr="000761F4" w:rsidRDefault="000761F4">
          <w:pPr>
            <w:pStyle w:val="TOC3"/>
            <w:tabs>
              <w:tab w:val="left" w:pos="1200"/>
              <w:tab w:val="right" w:leader="dot" w:pos="9016"/>
            </w:tabs>
            <w:rPr>
              <w:noProof/>
            </w:rPr>
          </w:pPr>
          <w:hyperlink w:anchor="_Toc198652239" w:history="1">
            <w:r w:rsidRPr="000761F4">
              <w:rPr>
                <w:rStyle w:val="Hyperlink"/>
                <w:rFonts w:ascii="Times New Roman" w:eastAsia="Times New Roman" w:hAnsi="Times New Roman" w:cs="Times New Roman"/>
                <w:noProof/>
                <w:kern w:val="0"/>
                <w:lang w:eastAsia="en-AU"/>
                <w14:ligatures w14:val="none"/>
              </w:rPr>
              <w:t>4.2.</w:t>
            </w:r>
            <w:r w:rsidRPr="000761F4">
              <w:rPr>
                <w:noProof/>
              </w:rPr>
              <w:tab/>
            </w:r>
            <w:r w:rsidRPr="000761F4">
              <w:rPr>
                <w:rStyle w:val="Hyperlink"/>
                <w:rFonts w:ascii="Times New Roman" w:eastAsia="Times New Roman" w:hAnsi="Times New Roman" w:cs="Times New Roman"/>
                <w:noProof/>
                <w:kern w:val="0"/>
                <w:lang w:eastAsia="en-AU"/>
                <w14:ligatures w14:val="none"/>
              </w:rPr>
              <w:t>Member Engagement Mechanisms</w:t>
            </w:r>
            <w:r w:rsidRPr="000761F4">
              <w:rPr>
                <w:noProof/>
                <w:webHidden/>
              </w:rPr>
              <w:tab/>
            </w:r>
            <w:r w:rsidRPr="000761F4">
              <w:rPr>
                <w:noProof/>
                <w:webHidden/>
              </w:rPr>
              <w:fldChar w:fldCharType="begin"/>
            </w:r>
            <w:r w:rsidRPr="000761F4">
              <w:rPr>
                <w:noProof/>
                <w:webHidden/>
              </w:rPr>
              <w:instrText xml:space="preserve"> PAGEREF _Toc198652239 \h </w:instrText>
            </w:r>
            <w:r w:rsidRPr="000761F4">
              <w:rPr>
                <w:noProof/>
                <w:webHidden/>
              </w:rPr>
            </w:r>
            <w:r w:rsidRPr="000761F4">
              <w:rPr>
                <w:noProof/>
                <w:webHidden/>
              </w:rPr>
              <w:fldChar w:fldCharType="separate"/>
            </w:r>
            <w:r w:rsidR="00DC329B">
              <w:rPr>
                <w:noProof/>
                <w:webHidden/>
              </w:rPr>
              <w:t>8</w:t>
            </w:r>
            <w:r w:rsidRPr="000761F4">
              <w:rPr>
                <w:noProof/>
                <w:webHidden/>
              </w:rPr>
              <w:fldChar w:fldCharType="end"/>
            </w:r>
          </w:hyperlink>
        </w:p>
        <w:p w14:paraId="0039AEE2" w14:textId="06F917EA" w:rsidR="000761F4" w:rsidRPr="000761F4" w:rsidRDefault="000761F4">
          <w:pPr>
            <w:pStyle w:val="TOC3"/>
            <w:tabs>
              <w:tab w:val="left" w:pos="1200"/>
              <w:tab w:val="right" w:leader="dot" w:pos="9016"/>
            </w:tabs>
            <w:rPr>
              <w:noProof/>
            </w:rPr>
          </w:pPr>
          <w:hyperlink w:anchor="_Toc198652240" w:history="1">
            <w:r w:rsidRPr="000761F4">
              <w:rPr>
                <w:rStyle w:val="Hyperlink"/>
                <w:rFonts w:ascii="Times New Roman" w:eastAsia="Times New Roman" w:hAnsi="Times New Roman" w:cs="Times New Roman"/>
                <w:noProof/>
                <w:kern w:val="0"/>
                <w:lang w:eastAsia="en-AU"/>
                <w14:ligatures w14:val="none"/>
              </w:rPr>
              <w:t>4.3.</w:t>
            </w:r>
            <w:r w:rsidRPr="000761F4">
              <w:rPr>
                <w:noProof/>
              </w:rPr>
              <w:tab/>
            </w:r>
            <w:r w:rsidRPr="000761F4">
              <w:rPr>
                <w:rStyle w:val="Hyperlink"/>
                <w:rFonts w:ascii="Times New Roman" w:eastAsia="Times New Roman" w:hAnsi="Times New Roman" w:cs="Times New Roman"/>
                <w:noProof/>
                <w:kern w:val="0"/>
                <w:lang w:eastAsia="en-AU"/>
                <w14:ligatures w14:val="none"/>
              </w:rPr>
              <w:t>Climate Finance Project Development and Support</w:t>
            </w:r>
            <w:r w:rsidRPr="000761F4">
              <w:rPr>
                <w:noProof/>
                <w:webHidden/>
              </w:rPr>
              <w:tab/>
            </w:r>
            <w:r w:rsidRPr="000761F4">
              <w:rPr>
                <w:noProof/>
                <w:webHidden/>
              </w:rPr>
              <w:fldChar w:fldCharType="begin"/>
            </w:r>
            <w:r w:rsidRPr="000761F4">
              <w:rPr>
                <w:noProof/>
                <w:webHidden/>
              </w:rPr>
              <w:instrText xml:space="preserve"> PAGEREF _Toc198652240 \h </w:instrText>
            </w:r>
            <w:r w:rsidRPr="000761F4">
              <w:rPr>
                <w:noProof/>
                <w:webHidden/>
              </w:rPr>
            </w:r>
            <w:r w:rsidRPr="000761F4">
              <w:rPr>
                <w:noProof/>
                <w:webHidden/>
              </w:rPr>
              <w:fldChar w:fldCharType="separate"/>
            </w:r>
            <w:r w:rsidR="00DC329B">
              <w:rPr>
                <w:noProof/>
                <w:webHidden/>
              </w:rPr>
              <w:t>10</w:t>
            </w:r>
            <w:r w:rsidRPr="000761F4">
              <w:rPr>
                <w:noProof/>
                <w:webHidden/>
              </w:rPr>
              <w:fldChar w:fldCharType="end"/>
            </w:r>
          </w:hyperlink>
        </w:p>
        <w:p w14:paraId="3FF6B5BF" w14:textId="628C7C35" w:rsidR="000761F4" w:rsidRPr="000761F4" w:rsidRDefault="000761F4">
          <w:pPr>
            <w:pStyle w:val="TOC3"/>
            <w:tabs>
              <w:tab w:val="left" w:pos="1200"/>
              <w:tab w:val="right" w:leader="dot" w:pos="9016"/>
            </w:tabs>
            <w:rPr>
              <w:noProof/>
            </w:rPr>
          </w:pPr>
          <w:hyperlink w:anchor="_Toc198652241" w:history="1">
            <w:r w:rsidRPr="000761F4">
              <w:rPr>
                <w:rStyle w:val="Hyperlink"/>
                <w:rFonts w:ascii="Times New Roman" w:eastAsia="Times New Roman" w:hAnsi="Times New Roman" w:cs="Times New Roman"/>
                <w:noProof/>
                <w:kern w:val="0"/>
                <w:lang w:eastAsia="en-AU"/>
                <w14:ligatures w14:val="none"/>
              </w:rPr>
              <w:t>4.4.</w:t>
            </w:r>
            <w:r w:rsidRPr="000761F4">
              <w:rPr>
                <w:noProof/>
              </w:rPr>
              <w:tab/>
            </w:r>
            <w:r w:rsidRPr="000761F4">
              <w:rPr>
                <w:rStyle w:val="Hyperlink"/>
                <w:rFonts w:ascii="Times New Roman" w:eastAsia="Times New Roman" w:hAnsi="Times New Roman" w:cs="Times New Roman"/>
                <w:noProof/>
                <w:kern w:val="0"/>
                <w:lang w:eastAsia="en-AU"/>
                <w14:ligatures w14:val="none"/>
              </w:rPr>
              <w:t>Partnerships and Regional Collaboration</w:t>
            </w:r>
            <w:r w:rsidRPr="000761F4">
              <w:rPr>
                <w:noProof/>
                <w:webHidden/>
              </w:rPr>
              <w:tab/>
            </w:r>
            <w:r w:rsidRPr="000761F4">
              <w:rPr>
                <w:noProof/>
                <w:webHidden/>
              </w:rPr>
              <w:fldChar w:fldCharType="begin"/>
            </w:r>
            <w:r w:rsidRPr="000761F4">
              <w:rPr>
                <w:noProof/>
                <w:webHidden/>
              </w:rPr>
              <w:instrText xml:space="preserve"> PAGEREF _Toc198652241 \h </w:instrText>
            </w:r>
            <w:r w:rsidRPr="000761F4">
              <w:rPr>
                <w:noProof/>
                <w:webHidden/>
              </w:rPr>
            </w:r>
            <w:r w:rsidRPr="000761F4">
              <w:rPr>
                <w:noProof/>
                <w:webHidden/>
              </w:rPr>
              <w:fldChar w:fldCharType="separate"/>
            </w:r>
            <w:r w:rsidR="00DC329B">
              <w:rPr>
                <w:noProof/>
                <w:webHidden/>
              </w:rPr>
              <w:t>12</w:t>
            </w:r>
            <w:r w:rsidRPr="000761F4">
              <w:rPr>
                <w:noProof/>
                <w:webHidden/>
              </w:rPr>
              <w:fldChar w:fldCharType="end"/>
            </w:r>
          </w:hyperlink>
        </w:p>
        <w:p w14:paraId="76A72937" w14:textId="30510EC7" w:rsidR="000761F4" w:rsidRPr="000761F4" w:rsidRDefault="000761F4">
          <w:pPr>
            <w:pStyle w:val="TOC3"/>
            <w:tabs>
              <w:tab w:val="left" w:pos="1200"/>
              <w:tab w:val="right" w:leader="dot" w:pos="9016"/>
            </w:tabs>
            <w:rPr>
              <w:noProof/>
            </w:rPr>
          </w:pPr>
          <w:hyperlink w:anchor="_Toc198652242" w:history="1">
            <w:r w:rsidRPr="000761F4">
              <w:rPr>
                <w:rStyle w:val="Hyperlink"/>
                <w:rFonts w:ascii="Times New Roman" w:eastAsia="Times New Roman" w:hAnsi="Times New Roman" w:cs="Times New Roman"/>
                <w:noProof/>
                <w:kern w:val="0"/>
                <w:lang w:eastAsia="en-AU"/>
                <w14:ligatures w14:val="none"/>
              </w:rPr>
              <w:t>4.5.</w:t>
            </w:r>
            <w:r w:rsidRPr="000761F4">
              <w:rPr>
                <w:noProof/>
              </w:rPr>
              <w:tab/>
            </w:r>
            <w:r w:rsidRPr="000761F4">
              <w:rPr>
                <w:rStyle w:val="Hyperlink"/>
                <w:rFonts w:ascii="Times New Roman" w:eastAsia="Times New Roman" w:hAnsi="Times New Roman" w:cs="Times New Roman"/>
                <w:noProof/>
                <w:kern w:val="0"/>
                <w:lang w:eastAsia="en-AU"/>
                <w14:ligatures w14:val="none"/>
              </w:rPr>
              <w:t>Capacity Building and Human Capital Development</w:t>
            </w:r>
            <w:r w:rsidRPr="000761F4">
              <w:rPr>
                <w:noProof/>
                <w:webHidden/>
              </w:rPr>
              <w:tab/>
            </w:r>
            <w:r w:rsidRPr="000761F4">
              <w:rPr>
                <w:noProof/>
                <w:webHidden/>
              </w:rPr>
              <w:fldChar w:fldCharType="begin"/>
            </w:r>
            <w:r w:rsidRPr="000761F4">
              <w:rPr>
                <w:noProof/>
                <w:webHidden/>
              </w:rPr>
              <w:instrText xml:space="preserve"> PAGEREF _Toc198652242 \h </w:instrText>
            </w:r>
            <w:r w:rsidRPr="000761F4">
              <w:rPr>
                <w:noProof/>
                <w:webHidden/>
              </w:rPr>
            </w:r>
            <w:r w:rsidRPr="000761F4">
              <w:rPr>
                <w:noProof/>
                <w:webHidden/>
              </w:rPr>
              <w:fldChar w:fldCharType="separate"/>
            </w:r>
            <w:r w:rsidR="00DC329B">
              <w:rPr>
                <w:noProof/>
                <w:webHidden/>
              </w:rPr>
              <w:t>17</w:t>
            </w:r>
            <w:r w:rsidRPr="000761F4">
              <w:rPr>
                <w:noProof/>
                <w:webHidden/>
              </w:rPr>
              <w:fldChar w:fldCharType="end"/>
            </w:r>
          </w:hyperlink>
        </w:p>
        <w:p w14:paraId="05E5207D" w14:textId="65320E14" w:rsidR="000761F4" w:rsidRPr="000761F4" w:rsidRDefault="000761F4">
          <w:pPr>
            <w:pStyle w:val="TOC3"/>
            <w:tabs>
              <w:tab w:val="left" w:pos="1200"/>
              <w:tab w:val="right" w:leader="dot" w:pos="9016"/>
            </w:tabs>
            <w:rPr>
              <w:noProof/>
            </w:rPr>
          </w:pPr>
          <w:hyperlink w:anchor="_Toc198652243" w:history="1">
            <w:r w:rsidRPr="000761F4">
              <w:rPr>
                <w:rStyle w:val="Hyperlink"/>
                <w:rFonts w:ascii="Times New Roman" w:eastAsia="Times New Roman" w:hAnsi="Times New Roman" w:cs="Times New Roman"/>
                <w:noProof/>
                <w:kern w:val="0"/>
                <w:lang w:eastAsia="en-AU"/>
                <w14:ligatures w14:val="none"/>
              </w:rPr>
              <w:t>4.6.</w:t>
            </w:r>
            <w:r w:rsidRPr="000761F4">
              <w:rPr>
                <w:noProof/>
              </w:rPr>
              <w:tab/>
            </w:r>
            <w:r w:rsidRPr="000761F4">
              <w:rPr>
                <w:rStyle w:val="Hyperlink"/>
                <w:rFonts w:ascii="Times New Roman" w:eastAsia="Times New Roman" w:hAnsi="Times New Roman" w:cs="Times New Roman"/>
                <w:noProof/>
                <w:kern w:val="0"/>
                <w:lang w:eastAsia="en-AU"/>
                <w14:ligatures w14:val="none"/>
              </w:rPr>
              <w:t>Funding Opportunities and Resource Mobilization</w:t>
            </w:r>
            <w:r w:rsidRPr="000761F4">
              <w:rPr>
                <w:noProof/>
                <w:webHidden/>
              </w:rPr>
              <w:tab/>
            </w:r>
            <w:r w:rsidRPr="000761F4">
              <w:rPr>
                <w:noProof/>
                <w:webHidden/>
              </w:rPr>
              <w:fldChar w:fldCharType="begin"/>
            </w:r>
            <w:r w:rsidRPr="000761F4">
              <w:rPr>
                <w:noProof/>
                <w:webHidden/>
              </w:rPr>
              <w:instrText xml:space="preserve"> PAGEREF _Toc198652243 \h </w:instrText>
            </w:r>
            <w:r w:rsidRPr="000761F4">
              <w:rPr>
                <w:noProof/>
                <w:webHidden/>
              </w:rPr>
            </w:r>
            <w:r w:rsidRPr="000761F4">
              <w:rPr>
                <w:noProof/>
                <w:webHidden/>
              </w:rPr>
              <w:fldChar w:fldCharType="separate"/>
            </w:r>
            <w:r w:rsidR="00DC329B">
              <w:rPr>
                <w:noProof/>
                <w:webHidden/>
              </w:rPr>
              <w:t>19</w:t>
            </w:r>
            <w:r w:rsidRPr="000761F4">
              <w:rPr>
                <w:noProof/>
                <w:webHidden/>
              </w:rPr>
              <w:fldChar w:fldCharType="end"/>
            </w:r>
          </w:hyperlink>
        </w:p>
        <w:p w14:paraId="421C187A" w14:textId="058C1F93" w:rsidR="000761F4" w:rsidRPr="000761F4" w:rsidRDefault="000761F4">
          <w:pPr>
            <w:pStyle w:val="TOC3"/>
            <w:tabs>
              <w:tab w:val="left" w:pos="960"/>
              <w:tab w:val="right" w:leader="dot" w:pos="9016"/>
            </w:tabs>
            <w:rPr>
              <w:noProof/>
            </w:rPr>
          </w:pPr>
          <w:hyperlink w:anchor="_Toc198652244" w:history="1">
            <w:r w:rsidRPr="000761F4">
              <w:rPr>
                <w:rStyle w:val="Hyperlink"/>
                <w:rFonts w:ascii="Times New Roman" w:eastAsia="Times New Roman" w:hAnsi="Times New Roman" w:cs="Times New Roman"/>
                <w:noProof/>
                <w:kern w:val="0"/>
                <w:lang w:eastAsia="en-AU"/>
                <w14:ligatures w14:val="none"/>
              </w:rPr>
              <w:t>5.</w:t>
            </w:r>
            <w:r w:rsidRPr="000761F4">
              <w:rPr>
                <w:noProof/>
              </w:rPr>
              <w:tab/>
            </w:r>
            <w:r w:rsidRPr="000761F4">
              <w:rPr>
                <w:rStyle w:val="Hyperlink"/>
                <w:rFonts w:ascii="Times New Roman" w:eastAsia="Times New Roman" w:hAnsi="Times New Roman" w:cs="Times New Roman"/>
                <w:noProof/>
                <w:kern w:val="0"/>
                <w:lang w:eastAsia="en-AU"/>
                <w14:ligatures w14:val="none"/>
              </w:rPr>
              <w:t>Annexes</w:t>
            </w:r>
            <w:r w:rsidRPr="000761F4">
              <w:rPr>
                <w:noProof/>
                <w:webHidden/>
              </w:rPr>
              <w:tab/>
            </w:r>
            <w:r w:rsidRPr="000761F4">
              <w:rPr>
                <w:noProof/>
                <w:webHidden/>
              </w:rPr>
              <w:fldChar w:fldCharType="begin"/>
            </w:r>
            <w:r w:rsidRPr="000761F4">
              <w:rPr>
                <w:noProof/>
                <w:webHidden/>
              </w:rPr>
              <w:instrText xml:space="preserve"> PAGEREF _Toc198652244 \h </w:instrText>
            </w:r>
            <w:r w:rsidRPr="000761F4">
              <w:rPr>
                <w:noProof/>
                <w:webHidden/>
              </w:rPr>
            </w:r>
            <w:r w:rsidRPr="000761F4">
              <w:rPr>
                <w:noProof/>
                <w:webHidden/>
              </w:rPr>
              <w:fldChar w:fldCharType="separate"/>
            </w:r>
            <w:r w:rsidR="00DC329B">
              <w:rPr>
                <w:noProof/>
                <w:webHidden/>
              </w:rPr>
              <w:t>23</w:t>
            </w:r>
            <w:r w:rsidRPr="000761F4">
              <w:rPr>
                <w:noProof/>
                <w:webHidden/>
              </w:rPr>
              <w:fldChar w:fldCharType="end"/>
            </w:r>
          </w:hyperlink>
        </w:p>
        <w:p w14:paraId="4AE3DB95" w14:textId="7ED8F30E" w:rsidR="000761F4" w:rsidRPr="000761F4" w:rsidRDefault="000761F4">
          <w:pPr>
            <w:pStyle w:val="TOC3"/>
            <w:tabs>
              <w:tab w:val="right" w:leader="dot" w:pos="9016"/>
            </w:tabs>
            <w:rPr>
              <w:noProof/>
            </w:rPr>
          </w:pPr>
          <w:hyperlink w:anchor="_Toc198652245" w:history="1">
            <w:r w:rsidRPr="000761F4">
              <w:rPr>
                <w:rStyle w:val="Hyperlink"/>
                <w:rFonts w:ascii="Times New Roman" w:eastAsia="Times New Roman" w:hAnsi="Times New Roman" w:cs="Times New Roman"/>
                <w:noProof/>
                <w:kern w:val="0"/>
                <w:lang w:eastAsia="en-AU"/>
                <w14:ligatures w14:val="none"/>
              </w:rPr>
              <w:t>Annex 1 – Implementation and Monitoring Plan/Framework</w:t>
            </w:r>
            <w:r w:rsidRPr="000761F4">
              <w:rPr>
                <w:noProof/>
                <w:webHidden/>
              </w:rPr>
              <w:tab/>
            </w:r>
            <w:r w:rsidRPr="000761F4">
              <w:rPr>
                <w:noProof/>
                <w:webHidden/>
              </w:rPr>
              <w:fldChar w:fldCharType="begin"/>
            </w:r>
            <w:r w:rsidRPr="000761F4">
              <w:rPr>
                <w:noProof/>
                <w:webHidden/>
              </w:rPr>
              <w:instrText xml:space="preserve"> PAGEREF _Toc198652245 \h </w:instrText>
            </w:r>
            <w:r w:rsidRPr="000761F4">
              <w:rPr>
                <w:noProof/>
                <w:webHidden/>
              </w:rPr>
            </w:r>
            <w:r w:rsidRPr="000761F4">
              <w:rPr>
                <w:noProof/>
                <w:webHidden/>
              </w:rPr>
              <w:fldChar w:fldCharType="separate"/>
            </w:r>
            <w:r w:rsidR="00DC329B">
              <w:rPr>
                <w:noProof/>
                <w:webHidden/>
              </w:rPr>
              <w:t>23</w:t>
            </w:r>
            <w:r w:rsidRPr="000761F4">
              <w:rPr>
                <w:noProof/>
                <w:webHidden/>
              </w:rPr>
              <w:fldChar w:fldCharType="end"/>
            </w:r>
          </w:hyperlink>
        </w:p>
        <w:p w14:paraId="226BC61C" w14:textId="0C9875B9" w:rsidR="000761F4" w:rsidRPr="000761F4" w:rsidRDefault="000761F4">
          <w:pPr>
            <w:pStyle w:val="TOC3"/>
            <w:tabs>
              <w:tab w:val="right" w:leader="dot" w:pos="9016"/>
            </w:tabs>
            <w:rPr>
              <w:noProof/>
            </w:rPr>
          </w:pPr>
          <w:hyperlink w:anchor="_Toc198652246" w:history="1">
            <w:r w:rsidRPr="000761F4">
              <w:rPr>
                <w:rStyle w:val="Hyperlink"/>
                <w:rFonts w:ascii="Times New Roman" w:eastAsia="Times New Roman" w:hAnsi="Times New Roman" w:cs="Times New Roman"/>
                <w:noProof/>
                <w:kern w:val="0"/>
                <w:lang w:eastAsia="en-AU"/>
                <w14:ligatures w14:val="none"/>
              </w:rPr>
              <w:t>Annex 2 – Key Donors and Development Partners</w:t>
            </w:r>
            <w:r w:rsidRPr="000761F4">
              <w:rPr>
                <w:noProof/>
                <w:webHidden/>
              </w:rPr>
              <w:tab/>
            </w:r>
            <w:r w:rsidRPr="000761F4">
              <w:rPr>
                <w:noProof/>
                <w:webHidden/>
              </w:rPr>
              <w:fldChar w:fldCharType="begin"/>
            </w:r>
            <w:r w:rsidRPr="000761F4">
              <w:rPr>
                <w:noProof/>
                <w:webHidden/>
              </w:rPr>
              <w:instrText xml:space="preserve"> PAGEREF _Toc198652246 \h </w:instrText>
            </w:r>
            <w:r w:rsidRPr="000761F4">
              <w:rPr>
                <w:noProof/>
                <w:webHidden/>
              </w:rPr>
            </w:r>
            <w:r w:rsidRPr="000761F4">
              <w:rPr>
                <w:noProof/>
                <w:webHidden/>
              </w:rPr>
              <w:fldChar w:fldCharType="separate"/>
            </w:r>
            <w:r w:rsidR="00DC329B">
              <w:rPr>
                <w:noProof/>
                <w:webHidden/>
              </w:rPr>
              <w:t>23</w:t>
            </w:r>
            <w:r w:rsidRPr="000761F4">
              <w:rPr>
                <w:noProof/>
                <w:webHidden/>
              </w:rPr>
              <w:fldChar w:fldCharType="end"/>
            </w:r>
          </w:hyperlink>
        </w:p>
        <w:p w14:paraId="1B9BF7FE" w14:textId="412A9C18" w:rsidR="000761F4" w:rsidRPr="000761F4" w:rsidRDefault="000761F4">
          <w:pPr>
            <w:pStyle w:val="TOC3"/>
            <w:tabs>
              <w:tab w:val="right" w:leader="dot" w:pos="9016"/>
            </w:tabs>
            <w:rPr>
              <w:noProof/>
            </w:rPr>
          </w:pPr>
          <w:hyperlink w:anchor="_Toc198652247" w:history="1">
            <w:r w:rsidRPr="000761F4">
              <w:rPr>
                <w:rStyle w:val="Hyperlink"/>
                <w:rFonts w:ascii="Times New Roman" w:eastAsia="Times New Roman" w:hAnsi="Times New Roman" w:cs="Times New Roman"/>
                <w:noProof/>
                <w:kern w:val="0"/>
                <w:lang w:eastAsia="en-AU"/>
                <w14:ligatures w14:val="none"/>
              </w:rPr>
              <w:t>Annex 3 – Priority Sub-Regional Project Ideas for Support</w:t>
            </w:r>
            <w:r w:rsidRPr="000761F4">
              <w:rPr>
                <w:noProof/>
                <w:webHidden/>
              </w:rPr>
              <w:tab/>
            </w:r>
            <w:r w:rsidRPr="000761F4">
              <w:rPr>
                <w:noProof/>
                <w:webHidden/>
              </w:rPr>
              <w:fldChar w:fldCharType="begin"/>
            </w:r>
            <w:r w:rsidRPr="000761F4">
              <w:rPr>
                <w:noProof/>
                <w:webHidden/>
              </w:rPr>
              <w:instrText xml:space="preserve"> PAGEREF _Toc198652247 \h </w:instrText>
            </w:r>
            <w:r w:rsidRPr="000761F4">
              <w:rPr>
                <w:noProof/>
                <w:webHidden/>
              </w:rPr>
            </w:r>
            <w:r w:rsidRPr="000761F4">
              <w:rPr>
                <w:noProof/>
                <w:webHidden/>
              </w:rPr>
              <w:fldChar w:fldCharType="separate"/>
            </w:r>
            <w:r w:rsidR="00DC329B">
              <w:rPr>
                <w:noProof/>
                <w:webHidden/>
              </w:rPr>
              <w:t>25</w:t>
            </w:r>
            <w:r w:rsidRPr="000761F4">
              <w:rPr>
                <w:noProof/>
                <w:webHidden/>
              </w:rPr>
              <w:fldChar w:fldCharType="end"/>
            </w:r>
          </w:hyperlink>
        </w:p>
        <w:p w14:paraId="5E554C8F" w14:textId="12C05C53" w:rsidR="000761F4" w:rsidRDefault="000761F4">
          <w:r>
            <w:rPr>
              <w:b/>
              <w:bCs/>
              <w:noProof/>
            </w:rPr>
            <w:fldChar w:fldCharType="end"/>
          </w:r>
        </w:p>
      </w:sdtContent>
    </w:sdt>
    <w:p w14:paraId="0EC64339" w14:textId="77777777" w:rsidR="000761F4" w:rsidRPr="000761F4" w:rsidRDefault="000761F4" w:rsidP="00C40F2A">
      <w:pPr>
        <w:spacing w:before="100" w:beforeAutospacing="1" w:after="100" w:afterAutospacing="1" w:line="360" w:lineRule="auto"/>
        <w:jc w:val="both"/>
        <w:outlineLvl w:val="0"/>
        <w:rPr>
          <w:rFonts w:ascii="Times New Roman" w:eastAsia="Times New Roman" w:hAnsi="Times New Roman" w:cs="Times New Roman"/>
          <w:kern w:val="36"/>
          <w:lang w:eastAsia="en-AU"/>
          <w14:ligatures w14:val="none"/>
        </w:rPr>
        <w:sectPr w:rsidR="000761F4" w:rsidRPr="000761F4" w:rsidSect="00FA5768">
          <w:footerReference w:type="default" r:id="rId8"/>
          <w:footerReference w:type="first" r:id="rId9"/>
          <w:pgSz w:w="11906" w:h="16838"/>
          <w:pgMar w:top="1440" w:right="1440" w:bottom="1440" w:left="1440" w:header="720" w:footer="720" w:gutter="0"/>
          <w:cols w:space="720"/>
          <w:docGrid w:linePitch="360"/>
        </w:sectPr>
      </w:pPr>
    </w:p>
    <w:p w14:paraId="795D2FF7" w14:textId="77777777" w:rsidR="00C40F2A" w:rsidRPr="00C40F2A" w:rsidRDefault="00C40F2A" w:rsidP="00C40F2A">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kern w:val="0"/>
          <w:sz w:val="32"/>
          <w:szCs w:val="32"/>
          <w:lang w:eastAsia="en-AU"/>
          <w14:ligatures w14:val="none"/>
        </w:rPr>
      </w:pPr>
      <w:bookmarkStart w:id="2" w:name="_Toc198652234"/>
      <w:r w:rsidRPr="00C40F2A">
        <w:rPr>
          <w:rFonts w:ascii="Times New Roman" w:eastAsia="Times New Roman" w:hAnsi="Times New Roman" w:cs="Times New Roman"/>
          <w:kern w:val="0"/>
          <w:sz w:val="32"/>
          <w:szCs w:val="32"/>
          <w:lang w:eastAsia="en-AU"/>
          <w14:ligatures w14:val="none"/>
        </w:rPr>
        <w:lastRenderedPageBreak/>
        <w:t>Introduction and Goal</w:t>
      </w:r>
      <w:bookmarkEnd w:id="2"/>
    </w:p>
    <w:p w14:paraId="07061211" w14:textId="57B72A47" w:rsidR="00C40F2A" w:rsidRDefault="00C40F2A" w:rsidP="008E67D1">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The SPREP North Pacific Office (NPO) Climate Finance Engagement Strategy outlines how the Secretariat of the Pacific Regional Environment Programme (SPREP) will support its North Pacific member countries and territories in accessing and mobilizing climate finance. The strategy is intended for internal SPREP stakeholders, development partners, and North Pacific member governments, providing a clear framework for collaboration and action. The overarching goal of this strategy is to strengthen the capacity and coordination role of SPREP’s North Pacific Office so it can effectively work in partnership with SPREP’s Climate Change Resilience (CCR) programme and </w:t>
      </w:r>
      <w:r w:rsidR="00D55FF4" w:rsidRPr="00D55FF4">
        <w:rPr>
          <w:rFonts w:ascii="Times New Roman" w:eastAsia="Times New Roman" w:hAnsi="Times New Roman" w:cs="Times New Roman"/>
          <w:kern w:val="0"/>
          <w:lang w:eastAsia="en-AU"/>
          <w14:ligatures w14:val="none"/>
        </w:rPr>
        <w:t xml:space="preserve">Strategic Planning, Partnerships, and Resource Mobilisation (SPPR) </w:t>
      </w:r>
      <w:r w:rsidRPr="00C40F2A">
        <w:rPr>
          <w:rFonts w:ascii="Times New Roman" w:eastAsia="Times New Roman" w:hAnsi="Times New Roman" w:cs="Times New Roman"/>
          <w:kern w:val="0"/>
          <w:lang w:eastAsia="en-AU"/>
          <w14:ligatures w14:val="none"/>
        </w:rPr>
        <w:t>staff at headquarters. Through stronger coordination, the NPO will facilitate engagement and collaboration between Micronesian member countries and conservation and development partners, ultimately enhancing access to climate finance across the North Pacific sub-region.</w:t>
      </w:r>
    </w:p>
    <w:p w14:paraId="2000DE60" w14:textId="77777777" w:rsidR="00C40F2A" w:rsidRPr="00C40F2A" w:rsidRDefault="00C40F2A" w:rsidP="00C40F2A">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kern w:val="0"/>
          <w:sz w:val="27"/>
          <w:szCs w:val="27"/>
          <w:lang w:eastAsia="en-AU"/>
          <w14:ligatures w14:val="none"/>
        </w:rPr>
      </w:pPr>
      <w:bookmarkStart w:id="3" w:name="_Toc198652235"/>
      <w:r w:rsidRPr="00C40F2A">
        <w:rPr>
          <w:rFonts w:ascii="Times New Roman" w:eastAsia="Times New Roman" w:hAnsi="Times New Roman" w:cs="Times New Roman"/>
          <w:kern w:val="0"/>
          <w:sz w:val="27"/>
          <w:szCs w:val="27"/>
          <w:lang w:eastAsia="en-AU"/>
          <w14:ligatures w14:val="none"/>
        </w:rPr>
        <w:t>Rationale for a North Pacific Climate Finance Engagement Strategy</w:t>
      </w:r>
      <w:bookmarkEnd w:id="3"/>
    </w:p>
    <w:p w14:paraId="5C5FDCDE" w14:textId="6B0EA331" w:rsidR="00C40F2A" w:rsidRPr="00C40F2A" w:rsidRDefault="00C40F2A" w:rsidP="008E67D1">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All Pacific Island Countries (PICs) face urgent climate change adaptation and mitigation challenges requiring significantly greater levels of climate finance support. However, the needs of SPREP’s North Pacific members – particularly Nauru, Kiribati, the Republic of the Marshall Islands (RMI), the Federated States of Micronesia (FSM), and Palau – are especially pronounced. These countries are generally smaller in land area, and many consist largely of low-lying atolls (e.g. most of Kiribati and RMI, and parts of FSM) that are extremely vulnerable to rising sea levels and other climate impacts. They truly face an existential threat from climate change. At the same time, financial and human resource capacities in these countries tend to be lower than those of larger South Pacific countries, creating additional barriers to accessing international climate funds. The two United States territories in the North Pacific (Guam and the Commonwealth of the Northern Mariana Islands, or CNMI) experience similar climate-related challenges but have comparatively greater resources available through support from the U.S. federal government. However, as of 2025, the United States is </w:t>
      </w:r>
      <w:r w:rsidR="00D764DE">
        <w:rPr>
          <w:rFonts w:ascii="Times New Roman" w:eastAsia="Times New Roman" w:hAnsi="Times New Roman" w:cs="Times New Roman"/>
          <w:kern w:val="0"/>
          <w:lang w:eastAsia="en-AU"/>
          <w14:ligatures w14:val="none"/>
        </w:rPr>
        <w:t>limiting</w:t>
      </w:r>
      <w:r w:rsidR="00531D4B">
        <w:rPr>
          <w:rFonts w:ascii="Times New Roman" w:eastAsia="Times New Roman" w:hAnsi="Times New Roman" w:cs="Times New Roman"/>
          <w:kern w:val="0"/>
          <w:lang w:eastAsia="en-AU"/>
          <w14:ligatures w14:val="none"/>
        </w:rPr>
        <w:t xml:space="preserve"> its</w:t>
      </w:r>
      <w:r w:rsidRPr="00C40F2A">
        <w:rPr>
          <w:rFonts w:ascii="Times New Roman" w:eastAsia="Times New Roman" w:hAnsi="Times New Roman" w:cs="Times New Roman"/>
          <w:kern w:val="0"/>
          <w:lang w:eastAsia="en-AU"/>
          <w14:ligatures w14:val="none"/>
        </w:rPr>
        <w:t xml:space="preserve"> dedicated climate finance support to the North Pacific region.</w:t>
      </w:r>
    </w:p>
    <w:p w14:paraId="64A9223D" w14:textId="77777777" w:rsidR="00C40F2A" w:rsidRPr="00C40F2A" w:rsidRDefault="00C40F2A" w:rsidP="008E67D1">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Recent regional analyses underscore the acute climate finance needs in the North Pacific. According to the Pacific Islands Forum’s draft </w:t>
      </w:r>
      <w:r w:rsidRPr="00774C4D">
        <w:rPr>
          <w:rFonts w:ascii="Times New Roman" w:eastAsia="Times New Roman" w:hAnsi="Times New Roman" w:cs="Times New Roman"/>
          <w:kern w:val="0"/>
          <w:lang w:eastAsia="en-AU"/>
          <w14:ligatures w14:val="none"/>
        </w:rPr>
        <w:t>Pacific Island Countries Climate Finance Access and Mobilization Strategy 2024–2030</w:t>
      </w:r>
      <w:r w:rsidRPr="00C40F2A">
        <w:rPr>
          <w:rFonts w:ascii="Times New Roman" w:eastAsia="Times New Roman" w:hAnsi="Times New Roman" w:cs="Times New Roman"/>
          <w:kern w:val="0"/>
          <w:lang w:eastAsia="en-AU"/>
          <w14:ligatures w14:val="none"/>
        </w:rPr>
        <w:t xml:space="preserve">, North Pacific countries prioritize a range of sectors, with a notable emphasis on cross-cutting and integrated climate initiatives as well as disaster risk management and resilience. For example, preliminary estimates of financial needs by 2030 indicate that the Marshall Islands may require on the order of USD $6 billion in climate finance to meet its goals, while FSM has identified roughly $217 million in needs – stark figures that illustrate the immense scale of funding required for these nations to achieve climate resilience. These needs far outstrip current funding levels and highlight the importance of a </w:t>
      </w:r>
      <w:r w:rsidRPr="00C40F2A">
        <w:rPr>
          <w:rFonts w:ascii="Times New Roman" w:eastAsia="Times New Roman" w:hAnsi="Times New Roman" w:cs="Times New Roman"/>
          <w:kern w:val="0"/>
          <w:lang w:eastAsia="en-AU"/>
          <w14:ligatures w14:val="none"/>
        </w:rPr>
        <w:lastRenderedPageBreak/>
        <w:t>coordinated strategy to improve access to climate finance. Without enhanced support and tailored engagement, North Pacific members risk being left behind in regional climate finance mobilization efforts due to their limited in-country capacity and the complex requirements of major funding sources.</w:t>
      </w:r>
    </w:p>
    <w:p w14:paraId="47936616" w14:textId="174CB691" w:rsidR="00C40F2A" w:rsidRPr="00C40F2A" w:rsidRDefault="009D3C05" w:rsidP="008E67D1">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Generally</w:t>
      </w:r>
      <w:r w:rsidR="00C40F2A" w:rsidRPr="00C40F2A">
        <w:rPr>
          <w:rFonts w:ascii="Times New Roman" w:eastAsia="Times New Roman" w:hAnsi="Times New Roman" w:cs="Times New Roman"/>
          <w:kern w:val="0"/>
          <w:lang w:eastAsia="en-AU"/>
          <w14:ligatures w14:val="none"/>
        </w:rPr>
        <w:t>, the North Pacific Climate Finance Engagement Strategy is driven by the recognition that North Pacific members face exceptional vulnerability and capacity constraints in addressing climate change. Targeted support through the SPREP North Pacific Office – in coordination with SPREP headquarters and partners – is needed to bridge the gap, help countries secure larger volumes of climate funding, and ensure investments align with each country’s highest priorities.</w:t>
      </w:r>
    </w:p>
    <w:p w14:paraId="7CC0315B" w14:textId="77777777" w:rsidR="00C40F2A" w:rsidRPr="00C40F2A" w:rsidRDefault="00C40F2A" w:rsidP="00C40F2A">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kern w:val="0"/>
          <w:sz w:val="32"/>
          <w:szCs w:val="32"/>
          <w:lang w:eastAsia="en-AU"/>
          <w14:ligatures w14:val="none"/>
        </w:rPr>
      </w:pPr>
      <w:bookmarkStart w:id="4" w:name="_Toc198652236"/>
      <w:r w:rsidRPr="00C40F2A">
        <w:rPr>
          <w:rFonts w:ascii="Times New Roman" w:eastAsia="Times New Roman" w:hAnsi="Times New Roman" w:cs="Times New Roman"/>
          <w:kern w:val="0"/>
          <w:sz w:val="32"/>
          <w:szCs w:val="32"/>
          <w:lang w:eastAsia="en-AU"/>
          <w14:ligatures w14:val="none"/>
        </w:rPr>
        <w:t>Background: SPREP’s Presence and Activities in the North Pacific</w:t>
      </w:r>
      <w:bookmarkEnd w:id="4"/>
    </w:p>
    <w:p w14:paraId="031779FE" w14:textId="77777777" w:rsidR="00F31327" w:rsidRPr="00F31327" w:rsidRDefault="00C40F2A" w:rsidP="00F31327">
      <w:pPr>
        <w:pStyle w:val="ListParagraph"/>
        <w:numPr>
          <w:ilvl w:val="1"/>
          <w:numId w:val="12"/>
        </w:numPr>
        <w:spacing w:before="120" w:after="100" w:afterAutospacing="1" w:line="360" w:lineRule="auto"/>
        <w:ind w:hanging="612"/>
        <w:contextualSpacing w:val="0"/>
        <w:jc w:val="both"/>
        <w:outlineLvl w:val="2"/>
        <w:rPr>
          <w:rFonts w:ascii="Times New Roman" w:eastAsia="Times New Roman" w:hAnsi="Times New Roman" w:cs="Times New Roman"/>
          <w:kern w:val="0"/>
          <w:lang w:eastAsia="en-AU"/>
          <w14:ligatures w14:val="none"/>
        </w:rPr>
      </w:pPr>
      <w:r w:rsidRPr="00F31327">
        <w:rPr>
          <w:rFonts w:ascii="Times New Roman" w:eastAsia="Times New Roman" w:hAnsi="Times New Roman" w:cs="Times New Roman"/>
          <w:kern w:val="0"/>
          <w:lang w:eastAsia="en-AU"/>
          <w14:ligatures w14:val="none"/>
        </w:rPr>
        <w:t>SPREP’s Role in the North Pacific</w:t>
      </w:r>
    </w:p>
    <w:p w14:paraId="74326851" w14:textId="36AFAC16" w:rsidR="00C40F2A" w:rsidRPr="00C40F2A" w:rsidRDefault="00C40F2A" w:rsidP="008E67D1">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SPREP has a longstanding commitment to supporting its North Pacific members on climate change and environmental management. The Climate Change Resilience (CCR) Programme and the Pacific Climate Change Centre (PCCC) team based at SPREP’s Apia headquarters have worked with North Pacific members on a wide variety of climate finance initiatives, adaptation projects, disaster risk reduction, climate policy support (e.g. Nationally Determined Contributions and National Adaptation Plans), and preparations for international negotiations (such as UNFCCC Conferences of the Parties). To strengthen on-the-ground coordination, SPREP established a sub-regional presence: the SPREP North Pacific Office, officially opened in Majuro, RMI in November 2019. The NPO is currently staffed by an Office Manager and a Technical and Liaison Officer and serves as SPREP’s local hub for the North Pacific. (Prior to the NPO’s establishment, SPREP maintained North Pacific engagement through in-country desk officers in FSM and RMI for several years.) This physical presence improves SPREP’s accessibility to members in Micronesia and facilitates more continuous engagement.</w:t>
      </w:r>
    </w:p>
    <w:p w14:paraId="59BA3983" w14:textId="77777777" w:rsidR="00F31327" w:rsidRPr="00F31327" w:rsidRDefault="00C40F2A" w:rsidP="00F31327">
      <w:pPr>
        <w:pStyle w:val="ListParagraph"/>
        <w:numPr>
          <w:ilvl w:val="1"/>
          <w:numId w:val="12"/>
        </w:numPr>
        <w:spacing w:before="120" w:after="100" w:afterAutospacing="1" w:line="360" w:lineRule="auto"/>
        <w:ind w:hanging="612"/>
        <w:contextualSpacing w:val="0"/>
        <w:jc w:val="both"/>
        <w:outlineLvl w:val="2"/>
        <w:rPr>
          <w:rFonts w:ascii="Times New Roman" w:eastAsia="Times New Roman" w:hAnsi="Times New Roman" w:cs="Times New Roman"/>
          <w:kern w:val="0"/>
          <w:lang w:eastAsia="en-AU"/>
          <w14:ligatures w14:val="none"/>
        </w:rPr>
      </w:pPr>
      <w:r w:rsidRPr="00F31327">
        <w:rPr>
          <w:rFonts w:ascii="Times New Roman" w:eastAsia="Times New Roman" w:hAnsi="Times New Roman" w:cs="Times New Roman"/>
          <w:kern w:val="0"/>
          <w:lang w:eastAsia="en-AU"/>
          <w14:ligatures w14:val="none"/>
        </w:rPr>
        <w:t>Ongoing Projects</w:t>
      </w:r>
    </w:p>
    <w:p w14:paraId="4CD8D9CB" w14:textId="285469B8" w:rsidR="00C40F2A" w:rsidRPr="00F31327" w:rsidRDefault="00C40F2A" w:rsidP="008E67D1">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F31327">
        <w:rPr>
          <w:rFonts w:ascii="Times New Roman" w:eastAsia="Times New Roman" w:hAnsi="Times New Roman" w:cs="Times New Roman"/>
          <w:kern w:val="0"/>
          <w:lang w:eastAsia="en-AU"/>
          <w14:ligatures w14:val="none"/>
        </w:rPr>
        <w:t xml:space="preserve">SPREP is already actively supporting and implementing </w:t>
      </w:r>
      <w:r w:rsidR="00A45F59" w:rsidRPr="00F31327">
        <w:rPr>
          <w:rFonts w:ascii="Times New Roman" w:eastAsia="Times New Roman" w:hAnsi="Times New Roman" w:cs="Times New Roman"/>
          <w:kern w:val="0"/>
          <w:lang w:eastAsia="en-AU"/>
          <w14:ligatures w14:val="none"/>
        </w:rPr>
        <w:t>several</w:t>
      </w:r>
      <w:r w:rsidRPr="00F31327">
        <w:rPr>
          <w:rFonts w:ascii="Times New Roman" w:eastAsia="Times New Roman" w:hAnsi="Times New Roman" w:cs="Times New Roman"/>
          <w:kern w:val="0"/>
          <w:lang w:eastAsia="en-AU"/>
          <w14:ligatures w14:val="none"/>
        </w:rPr>
        <w:t xml:space="preserve"> climate change projects and programmes across North Pacific member countries. These ongoing initiatives provide a foundation for deeper climate finance engagement. Key current SPREP-supported climate change projects in North Pacific members include:</w:t>
      </w:r>
    </w:p>
    <w:p w14:paraId="36283004"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proofErr w:type="spellStart"/>
      <w:r w:rsidRPr="00A45F59">
        <w:rPr>
          <w:rFonts w:ascii="Times New Roman" w:eastAsia="Times New Roman" w:hAnsi="Times New Roman" w:cs="Times New Roman"/>
          <w:i/>
          <w:iCs/>
          <w:kern w:val="0"/>
          <w:lang w:eastAsia="en-AU"/>
          <w14:ligatures w14:val="none"/>
        </w:rPr>
        <w:t>ClimSA</w:t>
      </w:r>
      <w:proofErr w:type="spellEnd"/>
      <w:r w:rsidRPr="00A45F59">
        <w:rPr>
          <w:rFonts w:ascii="Times New Roman" w:eastAsia="Times New Roman" w:hAnsi="Times New Roman" w:cs="Times New Roman"/>
          <w:i/>
          <w:iCs/>
          <w:kern w:val="0"/>
          <w:lang w:eastAsia="en-AU"/>
          <w14:ligatures w14:val="none"/>
        </w:rPr>
        <w:t xml:space="preserve"> – Climate Services for Adaptation</w:t>
      </w:r>
      <w:r w:rsidRPr="00C40F2A">
        <w:rPr>
          <w:rFonts w:ascii="Times New Roman" w:eastAsia="Times New Roman" w:hAnsi="Times New Roman" w:cs="Times New Roman"/>
          <w:kern w:val="0"/>
          <w:lang w:eastAsia="en-AU"/>
          <w14:ligatures w14:val="none"/>
        </w:rPr>
        <w:t xml:space="preserve"> project (implementation in Kiribati and Nauru).</w:t>
      </w:r>
    </w:p>
    <w:p w14:paraId="3EC6D92D"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proofErr w:type="spellStart"/>
      <w:r w:rsidRPr="00A45F59">
        <w:rPr>
          <w:rFonts w:ascii="Times New Roman" w:eastAsia="Times New Roman" w:hAnsi="Times New Roman" w:cs="Times New Roman"/>
          <w:i/>
          <w:iCs/>
          <w:kern w:val="0"/>
          <w:lang w:eastAsia="en-AU"/>
          <w14:ligatures w14:val="none"/>
        </w:rPr>
        <w:t>COSPPac</w:t>
      </w:r>
      <w:proofErr w:type="spellEnd"/>
      <w:r w:rsidRPr="00A45F59">
        <w:rPr>
          <w:rFonts w:ascii="Times New Roman" w:eastAsia="Times New Roman" w:hAnsi="Times New Roman" w:cs="Times New Roman"/>
          <w:i/>
          <w:iCs/>
          <w:kern w:val="0"/>
          <w:lang w:eastAsia="en-AU"/>
          <w14:ligatures w14:val="none"/>
        </w:rPr>
        <w:t xml:space="preserve"> (Phase 3)</w:t>
      </w:r>
      <w:r w:rsidRPr="00C40F2A">
        <w:rPr>
          <w:rFonts w:ascii="Times New Roman" w:eastAsia="Times New Roman" w:hAnsi="Times New Roman" w:cs="Times New Roman"/>
          <w:kern w:val="0"/>
          <w:lang w:eastAsia="en-AU"/>
          <w14:ligatures w14:val="none"/>
        </w:rPr>
        <w:t xml:space="preserve"> – Climate and Oceans Support Program in the Pacific (benefiting Kiribati, Nauru, FSM, RMI, and Palau).</w:t>
      </w:r>
    </w:p>
    <w:p w14:paraId="6D867760"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lastRenderedPageBreak/>
        <w:t>Enhancing Climate Change Resilience of Communities in FSM</w:t>
      </w:r>
      <w:r w:rsidRPr="00C40F2A">
        <w:rPr>
          <w:rFonts w:ascii="Times New Roman" w:eastAsia="Times New Roman" w:hAnsi="Times New Roman" w:cs="Times New Roman"/>
          <w:kern w:val="0"/>
          <w:lang w:eastAsia="en-AU"/>
          <w14:ligatures w14:val="none"/>
        </w:rPr>
        <w:t xml:space="preserve"> – National project in the Federated States of Micronesia focused on community-based adaptation.</w:t>
      </w:r>
    </w:p>
    <w:p w14:paraId="5A9E8A85"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t>ICCE – Integrated Climate Change Engagement</w:t>
      </w:r>
      <w:r w:rsidRPr="00C40F2A">
        <w:rPr>
          <w:rFonts w:ascii="Times New Roman" w:eastAsia="Times New Roman" w:hAnsi="Times New Roman" w:cs="Times New Roman"/>
          <w:kern w:val="0"/>
          <w:lang w:eastAsia="en-AU"/>
          <w14:ligatures w14:val="none"/>
        </w:rPr>
        <w:t xml:space="preserve"> project (supporting Kiribati, RMI, Nauru, FSM, and Palau).</w:t>
      </w:r>
    </w:p>
    <w:p w14:paraId="0F34F8D8"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t>CDCC</w:t>
      </w:r>
      <w:r w:rsidRPr="00C40F2A">
        <w:rPr>
          <w:rFonts w:ascii="Times New Roman" w:eastAsia="Times New Roman" w:hAnsi="Times New Roman" w:cs="Times New Roman"/>
          <w:kern w:val="0"/>
          <w:lang w:eastAsia="en-AU"/>
          <w14:ligatures w14:val="none"/>
        </w:rPr>
        <w:t xml:space="preserve"> – Climate Change and Disaster risk management capacity project in FSM.</w:t>
      </w:r>
    </w:p>
    <w:p w14:paraId="7E3B38DA"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t>NAP Nauru</w:t>
      </w:r>
      <w:r w:rsidRPr="00C40F2A">
        <w:rPr>
          <w:rFonts w:ascii="Times New Roman" w:eastAsia="Times New Roman" w:hAnsi="Times New Roman" w:cs="Times New Roman"/>
          <w:kern w:val="0"/>
          <w:lang w:eastAsia="en-AU"/>
          <w14:ligatures w14:val="none"/>
        </w:rPr>
        <w:t xml:space="preserve"> – Support for Nauru’s development and implementation of a National Adaptation Plan.</w:t>
      </w:r>
    </w:p>
    <w:p w14:paraId="410100DA"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t>Nauru Readiness II</w:t>
      </w:r>
      <w:r w:rsidRPr="00C40F2A">
        <w:rPr>
          <w:rFonts w:ascii="Times New Roman" w:eastAsia="Times New Roman" w:hAnsi="Times New Roman" w:cs="Times New Roman"/>
          <w:kern w:val="0"/>
          <w:lang w:eastAsia="en-AU"/>
          <w14:ligatures w14:val="none"/>
        </w:rPr>
        <w:t xml:space="preserve"> – Second Green Climate Fund (GCF) readiness support project for Nauru (capacity building for GCF access).</w:t>
      </w:r>
    </w:p>
    <w:p w14:paraId="5E8A7632"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t>NDC Assist II (Nauru)</w:t>
      </w:r>
      <w:r w:rsidRPr="00C40F2A">
        <w:rPr>
          <w:rFonts w:ascii="Times New Roman" w:eastAsia="Times New Roman" w:hAnsi="Times New Roman" w:cs="Times New Roman"/>
          <w:kern w:val="0"/>
          <w:lang w:eastAsia="en-AU"/>
          <w14:ligatures w14:val="none"/>
        </w:rPr>
        <w:t xml:space="preserve"> – Follow-up support for Nauru’s Nationally Determined Contribution implementation (Phase II).</w:t>
      </w:r>
    </w:p>
    <w:p w14:paraId="00E5558D"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t>RMI Readiness II</w:t>
      </w:r>
      <w:r w:rsidRPr="00C40F2A">
        <w:rPr>
          <w:rFonts w:ascii="Times New Roman" w:eastAsia="Times New Roman" w:hAnsi="Times New Roman" w:cs="Times New Roman"/>
          <w:kern w:val="0"/>
          <w:lang w:eastAsia="en-AU"/>
          <w14:ligatures w14:val="none"/>
        </w:rPr>
        <w:t xml:space="preserve"> – Second GCF readiness support project for the Republic of the Marshall Islands.</w:t>
      </w:r>
    </w:p>
    <w:p w14:paraId="790FBF96"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t>NZ Loss and Damage Project</w:t>
      </w:r>
      <w:r w:rsidRPr="00C40F2A">
        <w:rPr>
          <w:rFonts w:ascii="Times New Roman" w:eastAsia="Times New Roman" w:hAnsi="Times New Roman" w:cs="Times New Roman"/>
          <w:kern w:val="0"/>
          <w:lang w:eastAsia="en-AU"/>
          <w14:ligatures w14:val="none"/>
        </w:rPr>
        <w:t xml:space="preserve"> – A project funded by New Zealand to address climate-related loss and damage in RMI and FSM.</w:t>
      </w:r>
    </w:p>
    <w:p w14:paraId="6C35D4A1"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t>IKI Project (RMI)</w:t>
      </w:r>
      <w:r w:rsidRPr="00C40F2A">
        <w:rPr>
          <w:rFonts w:ascii="Times New Roman" w:eastAsia="Times New Roman" w:hAnsi="Times New Roman" w:cs="Times New Roman"/>
          <w:kern w:val="0"/>
          <w:lang w:eastAsia="en-AU"/>
          <w14:ligatures w14:val="none"/>
        </w:rPr>
        <w:t xml:space="preserve"> – A climate change project in RMI funded by the International Climate Initiative (IKI, Government of Germany).</w:t>
      </w:r>
    </w:p>
    <w:p w14:paraId="682B0285"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t>Adaptation Fund Water Security Project (Kiribati)</w:t>
      </w:r>
      <w:r w:rsidRPr="00C40F2A">
        <w:rPr>
          <w:rFonts w:ascii="Times New Roman" w:eastAsia="Times New Roman" w:hAnsi="Times New Roman" w:cs="Times New Roman"/>
          <w:kern w:val="0"/>
          <w:lang w:eastAsia="en-AU"/>
          <w14:ligatures w14:val="none"/>
        </w:rPr>
        <w:t xml:space="preserve"> – An Adaptation Fund project enhancing water security in Kiribati (with SPREP as an implementing partner).</w:t>
      </w:r>
    </w:p>
    <w:p w14:paraId="550CA705" w14:textId="77777777" w:rsidR="00C40F2A" w:rsidRPr="00C40F2A" w:rsidRDefault="00C40F2A" w:rsidP="008E67D1">
      <w:pPr>
        <w:numPr>
          <w:ilvl w:val="0"/>
          <w:numId w:val="3"/>
        </w:numPr>
        <w:tabs>
          <w:tab w:val="clear" w:pos="720"/>
        </w:tabs>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t>Adaptation Fund Project (Palau)</w:t>
      </w:r>
      <w:r w:rsidRPr="00C40F2A">
        <w:rPr>
          <w:rFonts w:ascii="Times New Roman" w:eastAsia="Times New Roman" w:hAnsi="Times New Roman" w:cs="Times New Roman"/>
          <w:kern w:val="0"/>
          <w:lang w:eastAsia="en-AU"/>
          <w14:ligatures w14:val="none"/>
        </w:rPr>
        <w:t xml:space="preserve"> – An Adaptation Fund-financed climate resilience project in Palau (with SPREP involvement).</w:t>
      </w:r>
    </w:p>
    <w:p w14:paraId="61704A93" w14:textId="77777777" w:rsidR="00C40F2A" w:rsidRPr="00C40F2A" w:rsidRDefault="00C40F2A" w:rsidP="008E67D1">
      <w:pPr>
        <w:spacing w:before="100" w:beforeAutospacing="1" w:after="36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These projects demonstrate SPREP’s ongoing involvement in mobilizing climate finance and implementing climate resilience actions in the North Pacific. They also highlight areas of expertise (such as climate services, adaptation planning, and readiness support) that SPREP brings to its members. The lessons and partnerships developed through these initiatives will inform the implementation of this engagement strategy going forward.</w:t>
      </w:r>
    </w:p>
    <w:p w14:paraId="110FE762" w14:textId="77777777" w:rsidR="00F31327" w:rsidRPr="00F31327" w:rsidRDefault="00C40F2A" w:rsidP="008E67D1">
      <w:pPr>
        <w:pStyle w:val="ListParagraph"/>
        <w:numPr>
          <w:ilvl w:val="1"/>
          <w:numId w:val="12"/>
        </w:numPr>
        <w:spacing w:before="120" w:after="120" w:line="360" w:lineRule="auto"/>
        <w:ind w:hanging="612"/>
        <w:contextualSpacing w:val="0"/>
        <w:jc w:val="both"/>
        <w:outlineLvl w:val="2"/>
        <w:rPr>
          <w:rFonts w:ascii="Times New Roman" w:eastAsia="Times New Roman" w:hAnsi="Times New Roman" w:cs="Times New Roman"/>
          <w:kern w:val="0"/>
          <w:lang w:eastAsia="en-AU"/>
          <w14:ligatures w14:val="none"/>
        </w:rPr>
      </w:pPr>
      <w:r w:rsidRPr="00F31327">
        <w:rPr>
          <w:rFonts w:ascii="Times New Roman" w:eastAsia="Times New Roman" w:hAnsi="Times New Roman" w:cs="Times New Roman"/>
          <w:kern w:val="0"/>
          <w:lang w:eastAsia="en-AU"/>
          <w14:ligatures w14:val="none"/>
        </w:rPr>
        <w:t>Country and Territory Strategic Partnership Frameworks (CTSPFs)</w:t>
      </w:r>
    </w:p>
    <w:p w14:paraId="2BE9C87D" w14:textId="01151261" w:rsidR="00C40F2A" w:rsidRPr="00AC23E5" w:rsidRDefault="00C40F2A" w:rsidP="008E67D1">
      <w:pPr>
        <w:spacing w:after="100" w:afterAutospacing="1" w:line="340" w:lineRule="exact"/>
        <w:jc w:val="both"/>
        <w:rPr>
          <w:rFonts w:ascii="Times New Roman" w:eastAsia="Times New Roman" w:hAnsi="Times New Roman" w:cs="Times New Roman"/>
          <w:kern w:val="0"/>
          <w:lang w:eastAsia="en-AU"/>
          <w14:ligatures w14:val="none"/>
        </w:rPr>
      </w:pPr>
      <w:r w:rsidRPr="00AC23E5">
        <w:rPr>
          <w:rFonts w:ascii="Times New Roman" w:eastAsia="Times New Roman" w:hAnsi="Times New Roman" w:cs="Times New Roman"/>
          <w:kern w:val="0"/>
          <w:lang w:eastAsia="en-AU"/>
          <w14:ligatures w14:val="none"/>
        </w:rPr>
        <w:t>SPREP is guiding its support to members through the development of Country and Territory Strategic Partnership Frameworks. The CTSPF is the primary mechanism for engagement between SPREP and each member, serving to coordinate SPREP’s interventions with national priorities and to proactively identify opportunities for new projects or funding. Rather than ad-hoc support, the CTSPF provides a structured, country-driven plan that aligns SPREP’s activities with the member’s climate and environment strategies. The frameworks are living documents, intended to be reviewed and updated annually</w:t>
      </w:r>
      <w:r w:rsidR="009D3C05" w:rsidRPr="00AC23E5">
        <w:rPr>
          <w:rFonts w:ascii="Times New Roman" w:eastAsia="Times New Roman" w:hAnsi="Times New Roman" w:cs="Times New Roman"/>
          <w:kern w:val="0"/>
          <w:lang w:eastAsia="en-AU"/>
          <w14:ligatures w14:val="none"/>
        </w:rPr>
        <w:t xml:space="preserve"> or biennially depending on members preference</w:t>
      </w:r>
      <w:r w:rsidRPr="00AC23E5">
        <w:rPr>
          <w:rFonts w:ascii="Times New Roman" w:eastAsia="Times New Roman" w:hAnsi="Times New Roman" w:cs="Times New Roman"/>
          <w:kern w:val="0"/>
          <w:lang w:eastAsia="en-AU"/>
          <w14:ligatures w14:val="none"/>
        </w:rPr>
        <w:t>, and will feed into SPREP’s organizational planning (including the two-year Performance Implementation Plans developed under the SPREP Strategic Plan).</w:t>
      </w:r>
    </w:p>
    <w:p w14:paraId="42BD2A25" w14:textId="77777777" w:rsidR="00C40F2A" w:rsidRPr="00C40F2A" w:rsidRDefault="00C40F2A" w:rsidP="008E67D1">
      <w:pPr>
        <w:spacing w:before="100" w:beforeAutospacing="1" w:after="12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Each North Pacific member’s CTSPF identifies its priority needs in climate change and related fields, ensuring that SPREP and partners focus on the most critical areas. For example:</w:t>
      </w:r>
    </w:p>
    <w:p w14:paraId="6E0692E6" w14:textId="77777777" w:rsidR="00C40F2A" w:rsidRPr="00C40F2A" w:rsidRDefault="00C40F2A" w:rsidP="008E67D1">
      <w:pPr>
        <w:numPr>
          <w:ilvl w:val="0"/>
          <w:numId w:val="4"/>
        </w:numPr>
        <w:spacing w:after="80"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lastRenderedPageBreak/>
        <w:t>Palau</w:t>
      </w:r>
      <w:r w:rsidRPr="00C40F2A">
        <w:rPr>
          <w:rFonts w:ascii="Times New Roman" w:eastAsia="Times New Roman" w:hAnsi="Times New Roman" w:cs="Times New Roman"/>
          <w:b/>
          <w:bCs/>
          <w:kern w:val="0"/>
          <w:lang w:eastAsia="en-AU"/>
          <w14:ligatures w14:val="none"/>
        </w:rPr>
        <w:t>:</w:t>
      </w:r>
      <w:r w:rsidRPr="00C40F2A">
        <w:rPr>
          <w:rFonts w:ascii="Times New Roman" w:eastAsia="Times New Roman" w:hAnsi="Times New Roman" w:cs="Times New Roman"/>
          <w:kern w:val="0"/>
          <w:lang w:eastAsia="en-AU"/>
          <w14:ligatures w14:val="none"/>
        </w:rPr>
        <w:t xml:space="preserve"> Palau’s officially approved CTSPF highlights climate change priorities such as (1) continuing to provide capacity building and training on climate change resilience, (2) supporting Palau’s effective engagement in the UNFCCC process, and (3) assisting Palau in accessing dedicated climate funds (e.g. support for developing proposals to the Adaptation Fund).</w:t>
      </w:r>
    </w:p>
    <w:p w14:paraId="0D3E6A02" w14:textId="469F4B8F" w:rsidR="00C40F2A" w:rsidRPr="00C40F2A" w:rsidRDefault="00C40F2A" w:rsidP="008E67D1">
      <w:pPr>
        <w:numPr>
          <w:ilvl w:val="0"/>
          <w:numId w:val="4"/>
        </w:numPr>
        <w:spacing w:before="100" w:beforeAutospacing="1" w:after="80"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t>Republic of the Marshall Islands (RMI):</w:t>
      </w:r>
      <w:r w:rsidRPr="00C40F2A">
        <w:rPr>
          <w:rFonts w:ascii="Times New Roman" w:eastAsia="Times New Roman" w:hAnsi="Times New Roman" w:cs="Times New Roman"/>
          <w:kern w:val="0"/>
          <w:lang w:eastAsia="en-AU"/>
          <w14:ligatures w14:val="none"/>
        </w:rPr>
        <w:t xml:space="preserve"> The draft RMI CTSPF outlines similar priorities, including (1) implementing RMI’s ongoing GCF Readiness project, (2) continuing to deliver climate change resilience capacity-building programs, (3) supporting RMI’s engagement in key international environmental agreements (UNFCCC, Convention on Biological Diversity, Basel/Rotterdam/Stockholm conventions), and (4) exploring new funding opportunities through the Green Climate Fund, Adaptation Fund, and Global Environment Facility.</w:t>
      </w:r>
      <w:r w:rsidR="009D3C05">
        <w:rPr>
          <w:rFonts w:ascii="Times New Roman" w:eastAsia="Times New Roman" w:hAnsi="Times New Roman" w:cs="Times New Roman"/>
          <w:kern w:val="0"/>
          <w:lang w:eastAsia="en-AU"/>
          <w14:ligatures w14:val="none"/>
        </w:rPr>
        <w:t xml:space="preserve"> These will change once another review of priorities is completed.</w:t>
      </w:r>
    </w:p>
    <w:p w14:paraId="2E758A4C" w14:textId="63FFB0A9" w:rsidR="00C40F2A" w:rsidRPr="00C40F2A" w:rsidRDefault="00C40F2A" w:rsidP="008E67D1">
      <w:pPr>
        <w:numPr>
          <w:ilvl w:val="0"/>
          <w:numId w:val="4"/>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A45F59">
        <w:rPr>
          <w:rFonts w:ascii="Times New Roman" w:eastAsia="Times New Roman" w:hAnsi="Times New Roman" w:cs="Times New Roman"/>
          <w:i/>
          <w:iCs/>
          <w:kern w:val="0"/>
          <w:lang w:eastAsia="en-AU"/>
          <w14:ligatures w14:val="none"/>
        </w:rPr>
        <w:t>Nauru</w:t>
      </w:r>
      <w:r w:rsidRPr="00C40F2A">
        <w:rPr>
          <w:rFonts w:ascii="Times New Roman" w:eastAsia="Times New Roman" w:hAnsi="Times New Roman" w:cs="Times New Roman"/>
          <w:b/>
          <w:bCs/>
          <w:kern w:val="0"/>
          <w:lang w:eastAsia="en-AU"/>
          <w14:ligatures w14:val="none"/>
        </w:rPr>
        <w:t>:</w:t>
      </w:r>
      <w:r w:rsidRPr="00C40F2A">
        <w:rPr>
          <w:rFonts w:ascii="Times New Roman" w:eastAsia="Times New Roman" w:hAnsi="Times New Roman" w:cs="Times New Roman"/>
          <w:kern w:val="0"/>
          <w:lang w:eastAsia="en-AU"/>
          <w14:ligatures w14:val="none"/>
        </w:rPr>
        <w:t xml:space="preserve"> </w:t>
      </w:r>
      <w:r w:rsidR="009D3C05">
        <w:rPr>
          <w:rFonts w:ascii="Times New Roman" w:eastAsia="Times New Roman" w:hAnsi="Times New Roman" w:cs="Times New Roman"/>
          <w:kern w:val="0"/>
          <w:lang w:eastAsia="en-AU"/>
          <w14:ligatures w14:val="none"/>
        </w:rPr>
        <w:t>The</w:t>
      </w:r>
      <w:r w:rsidRPr="00C40F2A">
        <w:rPr>
          <w:rFonts w:ascii="Times New Roman" w:eastAsia="Times New Roman" w:hAnsi="Times New Roman" w:cs="Times New Roman"/>
          <w:kern w:val="0"/>
          <w:lang w:eastAsia="en-AU"/>
          <w14:ligatures w14:val="none"/>
        </w:rPr>
        <w:t xml:space="preserve"> Nauru’s CTSPF </w:t>
      </w:r>
      <w:r w:rsidR="009D3C05">
        <w:rPr>
          <w:rFonts w:ascii="Times New Roman" w:eastAsia="Times New Roman" w:hAnsi="Times New Roman" w:cs="Times New Roman"/>
          <w:kern w:val="0"/>
          <w:lang w:eastAsia="en-AU"/>
          <w14:ligatures w14:val="none"/>
        </w:rPr>
        <w:t>(</w:t>
      </w:r>
      <w:r w:rsidRPr="00C40F2A">
        <w:rPr>
          <w:rFonts w:ascii="Times New Roman" w:eastAsia="Times New Roman" w:hAnsi="Times New Roman" w:cs="Times New Roman"/>
          <w:kern w:val="0"/>
          <w:lang w:eastAsia="en-AU"/>
          <w14:ligatures w14:val="none"/>
        </w:rPr>
        <w:t xml:space="preserve">finalized </w:t>
      </w:r>
      <w:r w:rsidR="009D3C05">
        <w:rPr>
          <w:rFonts w:ascii="Times New Roman" w:eastAsia="Times New Roman" w:hAnsi="Times New Roman" w:cs="Times New Roman"/>
          <w:kern w:val="0"/>
          <w:lang w:eastAsia="en-AU"/>
          <w14:ligatures w14:val="none"/>
        </w:rPr>
        <w:t>and endorsed in 2025</w:t>
      </w:r>
      <w:r w:rsidRPr="00C40F2A">
        <w:rPr>
          <w:rFonts w:ascii="Times New Roman" w:eastAsia="Times New Roman" w:hAnsi="Times New Roman" w:cs="Times New Roman"/>
          <w:kern w:val="0"/>
          <w:lang w:eastAsia="en-AU"/>
          <w14:ligatures w14:val="none"/>
        </w:rPr>
        <w:t>) have identified needs such as (1) strengthening monitoring and evaluation capacity across all climate-related work (including establishing an M&amp;E framework for Nauru’s National Integrated Environment Policy and implementing the M&amp;E framework under the national Climate Change Policy), and (2) building capacity to support effective participation in international climate forums (e.g. UNFCCC Conference of the Parties, CBD, etc.).</w:t>
      </w:r>
    </w:p>
    <w:p w14:paraId="6E474898" w14:textId="77777777" w:rsidR="00C40F2A" w:rsidRDefault="00C40F2A" w:rsidP="008E67D1">
      <w:pPr>
        <w:spacing w:before="100" w:beforeAutospacing="1" w:after="0" w:line="360" w:lineRule="auto"/>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These examples illustrate the kinds of member-driven priorities that the NPO will support.</w:t>
      </w:r>
    </w:p>
    <w:p w14:paraId="17235347" w14:textId="02D0B86E" w:rsidR="00C40F2A" w:rsidRPr="00C40F2A" w:rsidRDefault="00C40F2A" w:rsidP="008E67D1">
      <w:pPr>
        <w:spacing w:after="0" w:line="360" w:lineRule="auto"/>
        <w:jc w:val="center"/>
        <w:rPr>
          <w:rFonts w:ascii="Times New Roman" w:eastAsia="Times New Roman" w:hAnsi="Times New Roman" w:cs="Times New Roman"/>
          <w:kern w:val="0"/>
          <w:lang w:eastAsia="en-AU"/>
          <w14:ligatures w14:val="none"/>
        </w:rPr>
      </w:pPr>
      <w:r>
        <w:rPr>
          <w:rFonts w:ascii="Times New Roman" w:eastAsia="Times New Roman" w:hAnsi="Times New Roman" w:cs="Times New Roman"/>
          <w:noProof/>
          <w:kern w:val="0"/>
          <w:lang w:eastAsia="en-AU"/>
          <w14:ligatures w14:val="none"/>
        </w:rPr>
        <w:drawing>
          <wp:inline distT="0" distB="0" distL="0" distR="0" wp14:anchorId="1C400005" wp14:editId="76F4FAAD">
            <wp:extent cx="2948940" cy="3380492"/>
            <wp:effectExtent l="0" t="0" r="3810" b="0"/>
            <wp:docPr id="1113246014" name="Picture 2"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6014" name="Picture 2" descr="A diagram of a projec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4580" cy="3386958"/>
                    </a:xfrm>
                    <a:prstGeom prst="rect">
                      <a:avLst/>
                    </a:prstGeom>
                    <a:noFill/>
                  </pic:spPr>
                </pic:pic>
              </a:graphicData>
            </a:graphic>
          </wp:inline>
        </w:drawing>
      </w:r>
    </w:p>
    <w:p w14:paraId="3FB8D7E5" w14:textId="6CD342E3" w:rsidR="00C40F2A" w:rsidRDefault="00C40F2A" w:rsidP="00C40F2A">
      <w:pPr>
        <w:spacing w:before="100" w:beforeAutospacing="1" w:after="100" w:afterAutospacing="1" w:line="360" w:lineRule="auto"/>
        <w:jc w:val="both"/>
        <w:rPr>
          <w:rFonts w:ascii="Times New Roman" w:eastAsia="Times New Roman" w:hAnsi="Times New Roman" w:cs="Times New Roman"/>
          <w:i/>
          <w:iCs/>
          <w:kern w:val="0"/>
          <w:lang w:eastAsia="en-AU"/>
          <w14:ligatures w14:val="none"/>
        </w:rPr>
      </w:pPr>
      <w:r w:rsidRPr="00C40F2A">
        <w:rPr>
          <w:rFonts w:ascii="Times New Roman" w:eastAsia="Times New Roman" w:hAnsi="Times New Roman" w:cs="Times New Roman"/>
          <w:i/>
          <w:iCs/>
          <w:kern w:val="0"/>
          <w:lang w:eastAsia="en-AU"/>
          <w14:ligatures w14:val="none"/>
        </w:rPr>
        <w:t xml:space="preserve">Figure </w:t>
      </w:r>
      <w:r w:rsidR="009D3C05">
        <w:rPr>
          <w:rFonts w:ascii="Times New Roman" w:eastAsia="Times New Roman" w:hAnsi="Times New Roman" w:cs="Times New Roman"/>
          <w:i/>
          <w:iCs/>
          <w:kern w:val="0"/>
          <w:lang w:eastAsia="en-AU"/>
          <w14:ligatures w14:val="none"/>
        </w:rPr>
        <w:t>1</w:t>
      </w:r>
      <w:r w:rsidRPr="00C40F2A">
        <w:rPr>
          <w:rFonts w:ascii="Times New Roman" w:eastAsia="Times New Roman" w:hAnsi="Times New Roman" w:cs="Times New Roman"/>
          <w:i/>
          <w:iCs/>
          <w:kern w:val="0"/>
          <w:lang w:eastAsia="en-AU"/>
          <w14:ligatures w14:val="none"/>
        </w:rPr>
        <w:t>: End-to-end climate finance project pipeline from concept to implementation for the NPO</w:t>
      </w:r>
    </w:p>
    <w:p w14:paraId="313F3C97" w14:textId="77777777" w:rsidR="00C40F2A" w:rsidRPr="00C40F2A" w:rsidRDefault="00C40F2A" w:rsidP="00C40F2A">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kern w:val="0"/>
          <w:sz w:val="32"/>
          <w:szCs w:val="32"/>
          <w:lang w:eastAsia="en-AU"/>
          <w14:ligatures w14:val="none"/>
        </w:rPr>
      </w:pPr>
      <w:bookmarkStart w:id="5" w:name="_Toc198652237"/>
      <w:r w:rsidRPr="00C40F2A">
        <w:rPr>
          <w:rFonts w:ascii="Times New Roman" w:eastAsia="Times New Roman" w:hAnsi="Times New Roman" w:cs="Times New Roman"/>
          <w:kern w:val="0"/>
          <w:sz w:val="32"/>
          <w:szCs w:val="32"/>
          <w:lang w:eastAsia="en-AU"/>
          <w14:ligatures w14:val="none"/>
        </w:rPr>
        <w:lastRenderedPageBreak/>
        <w:t>Strategic Engagement Framework for the North Pacific</w:t>
      </w:r>
      <w:bookmarkEnd w:id="5"/>
    </w:p>
    <w:p w14:paraId="620442DF" w14:textId="77777777" w:rsidR="00C40F2A" w:rsidRPr="00C40F2A" w:rsidRDefault="00C40F2A" w:rsidP="008E67D1">
      <w:pPr>
        <w:spacing w:before="100" w:beforeAutospacing="1" w:after="36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This Climate Finance Engagement Strategy provides a framework for how the SPREP North Pacific Office, in collaboration with SPREP’s Apia-based programs, will engage sub-regional members to achieve the stated goal. The strategy comprises several interrelated components: clear institutional roles and coordination mechanisms within SPREP, strong member engagement processes, targeted project development and support approaches, capacity-building integration, active partnership and donor engagement, and alignment with broader regional climate finance initiatives. These elements are detailed below.</w:t>
      </w:r>
    </w:p>
    <w:p w14:paraId="588652EE" w14:textId="77777777" w:rsidR="00C40F2A" w:rsidRPr="000761F4" w:rsidRDefault="00C40F2A" w:rsidP="008E67D1">
      <w:pPr>
        <w:pStyle w:val="ListParagraph"/>
        <w:numPr>
          <w:ilvl w:val="1"/>
          <w:numId w:val="12"/>
        </w:numPr>
        <w:spacing w:before="100" w:beforeAutospacing="1" w:line="360" w:lineRule="auto"/>
        <w:ind w:hanging="612"/>
        <w:jc w:val="both"/>
        <w:outlineLvl w:val="2"/>
        <w:rPr>
          <w:rFonts w:ascii="Times New Roman" w:eastAsia="Times New Roman" w:hAnsi="Times New Roman" w:cs="Times New Roman"/>
          <w:kern w:val="0"/>
          <w:lang w:eastAsia="en-AU"/>
          <w14:ligatures w14:val="none"/>
        </w:rPr>
      </w:pPr>
      <w:bookmarkStart w:id="6" w:name="_Toc198652238"/>
      <w:r w:rsidRPr="000761F4">
        <w:rPr>
          <w:rFonts w:ascii="Times New Roman" w:eastAsia="Times New Roman" w:hAnsi="Times New Roman" w:cs="Times New Roman"/>
          <w:kern w:val="0"/>
          <w:lang w:eastAsia="en-AU"/>
          <w14:ligatures w14:val="none"/>
        </w:rPr>
        <w:t>SPREP North Pacific Office Coordination and Institutional Roles</w:t>
      </w:r>
      <w:bookmarkEnd w:id="6"/>
    </w:p>
    <w:p w14:paraId="34286035" w14:textId="1D162753" w:rsidR="00C40F2A" w:rsidRPr="00C40F2A" w:rsidRDefault="00C40F2A" w:rsidP="008E67D1">
      <w:pPr>
        <w:spacing w:after="36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In implementing this strategy, well-defined roles and close coordination between the North Pacific Office and SPREP headquarters are essential. In the short to medium term, much of the technical expertise for developing and executing climate finance projects for North Pacific members will continue to reside in SPREP’s Apia headquarters – particularly within the Climate Change Resilience (CCR) programme, the Pacific Climate Change Centre (PCCC) team, and the </w:t>
      </w:r>
      <w:r w:rsidR="00FC7A65">
        <w:rPr>
          <w:rFonts w:ascii="Times New Roman" w:eastAsia="Times New Roman" w:hAnsi="Times New Roman" w:cs="Times New Roman"/>
          <w:kern w:val="0"/>
          <w:lang w:eastAsia="en-AU"/>
          <w14:ligatures w14:val="none"/>
        </w:rPr>
        <w:t xml:space="preserve">Strategic Planning, Partnership and Resource Mobilisation </w:t>
      </w:r>
      <w:r w:rsidR="00A72752">
        <w:rPr>
          <w:rFonts w:ascii="Times New Roman" w:eastAsia="Times New Roman" w:hAnsi="Times New Roman" w:cs="Times New Roman"/>
          <w:kern w:val="0"/>
          <w:lang w:eastAsia="en-AU"/>
          <w14:ligatures w14:val="none"/>
        </w:rPr>
        <w:t xml:space="preserve">(SPPRM) </w:t>
      </w:r>
      <w:r w:rsidR="00FC7A65">
        <w:rPr>
          <w:rFonts w:ascii="Times New Roman" w:eastAsia="Times New Roman" w:hAnsi="Times New Roman" w:cs="Times New Roman"/>
          <w:kern w:val="0"/>
          <w:lang w:eastAsia="en-AU"/>
          <w14:ligatures w14:val="none"/>
        </w:rPr>
        <w:t>department</w:t>
      </w:r>
      <w:r w:rsidRPr="00C40F2A">
        <w:rPr>
          <w:rFonts w:ascii="Times New Roman" w:eastAsia="Times New Roman" w:hAnsi="Times New Roman" w:cs="Times New Roman"/>
          <w:kern w:val="0"/>
          <w:lang w:eastAsia="en-AU"/>
          <w14:ligatures w14:val="none"/>
        </w:rPr>
        <w:t>. These teams in Apia have specialized experience in climate finance proposal development, project management, and technical advisory services. The North Pacific Office, with its two staff, will serve as the on-the-ground facilitator and coordinator, bridging the distance between Apia and the member countries.</w:t>
      </w:r>
    </w:p>
    <w:p w14:paraId="1BB56440" w14:textId="77777777" w:rsidR="00CA4ABD" w:rsidRPr="00CA4ABD" w:rsidRDefault="00C40F2A" w:rsidP="008E67D1">
      <w:pPr>
        <w:pStyle w:val="ListParagraph"/>
        <w:numPr>
          <w:ilvl w:val="2"/>
          <w:numId w:val="12"/>
        </w:numPr>
        <w:spacing w:before="100" w:beforeAutospacing="1"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Role of the NPO</w:t>
      </w:r>
    </w:p>
    <w:p w14:paraId="0BFFB2BD" w14:textId="597C96E3" w:rsidR="00C40F2A" w:rsidRPr="00CA4ABD" w:rsidRDefault="00C40F2A" w:rsidP="008E67D1">
      <w:pPr>
        <w:spacing w:after="100" w:afterAutospacing="1" w:line="340" w:lineRule="exact"/>
        <w:jc w:val="both"/>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The NPO staff will contribute critical sub-regional context and local knowledge to project design and implementation. When SPREP’s Apia-based specialists are developing a project for a North Pacific country (or a multi-country Micronesia project), NPO staff will be consulted to ensure the project is grounded in the local context and addresses the specific circumstances of the target country. The NPO will also handle much of the day-to-day liaison and communication with North Pacific government focal points and stakeholders, which is vital for maintaining momentum on project development and implementation. Additionally, in some instances the NPO may take on implementation and monitoring tasks on behalf of Apia-based project managers – especially where having a local presence can improve efficiency. For example, NPO staff might oversee in-country activities, coordinate local consultants, or monitor project progress in between visits by the Apia team. This arrangement helps overcome the challenges posed by distance and travel costs: without the NPO, frequent missions from Apia to Micronesia for minor tasks would be impractical, but with an NPO presence, certain activities can be managed or supported locally. Close consultation and communication are required before, during, and after any such activity to ensure that Apia and NPO staff are fully aligned and that projects maintain high quality standards.</w:t>
      </w:r>
    </w:p>
    <w:p w14:paraId="7D9BFBC1" w14:textId="77777777" w:rsidR="00CA4ABD" w:rsidRPr="00CA4ABD" w:rsidRDefault="00C40F2A" w:rsidP="008E67D1">
      <w:pPr>
        <w:pStyle w:val="ListParagraph"/>
        <w:numPr>
          <w:ilvl w:val="2"/>
          <w:numId w:val="12"/>
        </w:numPr>
        <w:spacing w:before="100" w:beforeAutospacing="1"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lastRenderedPageBreak/>
        <w:t>Resource Constraints</w:t>
      </w:r>
    </w:p>
    <w:p w14:paraId="6B78BC32" w14:textId="27164167" w:rsidR="00C40F2A" w:rsidRPr="00CA4ABD" w:rsidRDefault="00C40F2A" w:rsidP="00F16FEF">
      <w:pPr>
        <w:spacing w:after="240" w:line="340" w:lineRule="exact"/>
        <w:jc w:val="both"/>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 xml:space="preserve">It is important to note that currently the NPO does not have its own dedicated travel budget. If Apia-based staff require NPO personnel to travel within the region (for example, to represent SPREP at a national workshop or to assist with field implementation), the travel costs must be covered by the relevant project or programme budget. Similarly, NPO staff salaries are generally covered by core budgets, but where possible, a portion of NPO staff time may be charged to specific project budgets (especially for intensive involvement </w:t>
      </w:r>
      <w:proofErr w:type="gramStart"/>
      <w:r w:rsidRPr="00CA4ABD">
        <w:rPr>
          <w:rFonts w:ascii="Times New Roman" w:eastAsia="Times New Roman" w:hAnsi="Times New Roman" w:cs="Times New Roman"/>
          <w:kern w:val="0"/>
          <w:lang w:eastAsia="en-AU"/>
          <w14:ligatures w14:val="none"/>
        </w:rPr>
        <w:t>in a given</w:t>
      </w:r>
      <w:proofErr w:type="gramEnd"/>
      <w:r w:rsidRPr="00CA4ABD">
        <w:rPr>
          <w:rFonts w:ascii="Times New Roman" w:eastAsia="Times New Roman" w:hAnsi="Times New Roman" w:cs="Times New Roman"/>
          <w:kern w:val="0"/>
          <w:lang w:eastAsia="en-AU"/>
          <w14:ligatures w14:val="none"/>
        </w:rPr>
        <w:t xml:space="preserve"> project) to maximize the effective capacity of the office. These arrangements will need careful planning. In the longer term, SPREP intends to expand the North Pacific Office’s capacity by securing additional climate finance staff positions based in the North Pacific and establishing a modest independent travel budget for the NPO. Having dedicated climate finance officers in the NPO and travel resources would allow more frequent in-country engagements, proactive project scoping, and on-site support, thereby greatly enhancing service to members.</w:t>
      </w:r>
    </w:p>
    <w:p w14:paraId="11D8CB92" w14:textId="09D5387C" w:rsidR="00C40F2A" w:rsidRPr="00C40F2A" w:rsidRDefault="00C40F2A" w:rsidP="00F16FEF">
      <w:pPr>
        <w:spacing w:after="32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Within SPREP’s institutional structure, the CCR Programme will provide the primary technical leadership on climate finance (including this engagement strategy), with the NPO as an extension of the CCR team in the sub-region. The SPREP Executive (Director General and Senior Management Team) will continue to champion North Pacific needs at the organizational level and in high-level regional forums. Internally, clear communication channels will be maintained: for example, regular coordination meetings will be held between NPO staff and their counterparts in CCR, </w:t>
      </w:r>
      <w:r w:rsidR="00A72752">
        <w:rPr>
          <w:rFonts w:ascii="Times New Roman" w:eastAsia="Times New Roman" w:hAnsi="Times New Roman" w:cs="Times New Roman"/>
          <w:kern w:val="0"/>
          <w:lang w:eastAsia="en-AU"/>
          <w14:ligatures w14:val="none"/>
        </w:rPr>
        <w:t>SPPRM</w:t>
      </w:r>
      <w:r w:rsidRPr="00C40F2A">
        <w:rPr>
          <w:rFonts w:ascii="Times New Roman" w:eastAsia="Times New Roman" w:hAnsi="Times New Roman" w:cs="Times New Roman"/>
          <w:kern w:val="0"/>
          <w:lang w:eastAsia="en-AU"/>
          <w14:ligatures w14:val="none"/>
        </w:rPr>
        <w:t>, and PCCC to review ongoing work and upcoming opportunities. In summary, the NPO will act as a sub-regional coordination node, augmenting SPREP’s reach, but it will rely on close collaboration with Apia-based expertise until such time that the NPO itself can be strengthened with more specialized staff and resources.</w:t>
      </w:r>
    </w:p>
    <w:p w14:paraId="450647D3" w14:textId="77777777" w:rsidR="00C40F2A" w:rsidRPr="000761F4" w:rsidRDefault="00C40F2A" w:rsidP="00F16FEF">
      <w:pPr>
        <w:pStyle w:val="ListParagraph"/>
        <w:numPr>
          <w:ilvl w:val="1"/>
          <w:numId w:val="12"/>
        </w:numPr>
        <w:spacing w:before="100" w:beforeAutospacing="1" w:after="120" w:line="360" w:lineRule="auto"/>
        <w:ind w:hanging="612"/>
        <w:jc w:val="both"/>
        <w:outlineLvl w:val="2"/>
        <w:rPr>
          <w:rFonts w:ascii="Times New Roman" w:eastAsia="Times New Roman" w:hAnsi="Times New Roman" w:cs="Times New Roman"/>
          <w:kern w:val="0"/>
          <w:lang w:eastAsia="en-AU"/>
          <w14:ligatures w14:val="none"/>
        </w:rPr>
      </w:pPr>
      <w:bookmarkStart w:id="7" w:name="_Toc198652239"/>
      <w:r w:rsidRPr="000761F4">
        <w:rPr>
          <w:rFonts w:ascii="Times New Roman" w:eastAsia="Times New Roman" w:hAnsi="Times New Roman" w:cs="Times New Roman"/>
          <w:kern w:val="0"/>
          <w:lang w:eastAsia="en-AU"/>
          <w14:ligatures w14:val="none"/>
        </w:rPr>
        <w:t>Member Engagement Mechanisms</w:t>
      </w:r>
      <w:bookmarkEnd w:id="7"/>
    </w:p>
    <w:p w14:paraId="1CFE54CD" w14:textId="77777777" w:rsidR="00C40F2A" w:rsidRPr="00C40F2A" w:rsidRDefault="00C40F2A" w:rsidP="00F16FEF">
      <w:pPr>
        <w:spacing w:after="32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Engaging effectively with North Pacific members requires both national-level planning frameworks and sub-regional coordination forums. SPREP’s approach leverages both:</w:t>
      </w:r>
    </w:p>
    <w:p w14:paraId="411CB237" w14:textId="77777777" w:rsidR="00CA4ABD" w:rsidRPr="00CA4ABD" w:rsidRDefault="00C40F2A" w:rsidP="00F16FEF">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National Partnership Frameworks (CTSPF)</w:t>
      </w:r>
    </w:p>
    <w:p w14:paraId="64080C92" w14:textId="29807BDE" w:rsidR="00C40F2A" w:rsidRPr="00C40F2A" w:rsidRDefault="00C40F2A" w:rsidP="008E67D1">
      <w:pPr>
        <w:spacing w:after="40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As described above, Country and Territory Strategic Partnership Frameworks are the primary mechanism to align SPREP’s support with each member’s needs. Through the CTSPF process, SPREP (including the NPO and Apia teams) and the national government jointly identify priority actions, potential projects, and capacity needs. The strategy’s implementation will be closely tied to these frameworks – essentially, the CTSPFs are the national action plans that the NPO will help realize. By integrating climate finance engagement into the CTSPF, SPREP ensures that its efforts (e.g. preparing a funding proposal or delivering a training) correspond directly to what the country has requested and can be tracked in follow-up reviews. As new climate finance opportunities or member needs emerge, they will be incorporated into updated CTSPFs, creating a dynamic, responsive planning cycle.</w:t>
      </w:r>
    </w:p>
    <w:p w14:paraId="25CBDD3D" w14:textId="77777777" w:rsidR="00CA4ABD" w:rsidRPr="00CA4ABD" w:rsidRDefault="00C40F2A" w:rsidP="008E67D1">
      <w:pPr>
        <w:pStyle w:val="ListParagraph"/>
        <w:numPr>
          <w:ilvl w:val="2"/>
          <w:numId w:val="12"/>
        </w:numPr>
        <w:spacing w:before="100" w:beforeAutospacing="1" w:after="200"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lastRenderedPageBreak/>
        <w:t>North Pacific Members’ Working Group</w:t>
      </w:r>
    </w:p>
    <w:p w14:paraId="23D71D8C" w14:textId="62D086D0" w:rsidR="00C40F2A" w:rsidRPr="00C40F2A" w:rsidRDefault="00C40F2A" w:rsidP="008E67D1">
      <w:pPr>
        <w:spacing w:before="120"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 At the sub-regional level, SPREP has established a North Pacific Members’ Working Group to enhance coordination among the Micronesian members and with the NPO. The Working Group is composed of representatives (either the SPREP Technical Focal Point or the SPREP Political Focal Point, or their delegate) from each of the seven North Pacific members – FSM, Guam, Kiribati, Nauru, CNMI, Palau, and RMI – along with SPREP’s North Pacific Office Manager and representation from the SPREP Secretariat. This Working Group serves as a steering committee for the NPO’s operations and regional engagement on climate finance and other environmental initiatives. It meets twice annually (once in the first half and once in the second half of the year), with at least one in-person meeting coinciding with a SPREP Annual Meeting when feasible, and virtual meetings otherwise. During these meetings, the Working Group members discuss and review planned activities, share updates on climate finance projects and opportunities in their countries, and identify areas for collaboration (such as multi-country project ideas). They can also jointly strategize on common challenges facing the North Pacific in accessing climate funds. The Terms of Reference for the NPO Working Group (including its objectives, roles, membership, and meeting procedures) are provided in </w:t>
      </w:r>
      <w:r w:rsidR="00501869">
        <w:rPr>
          <w:rFonts w:ascii="Times New Roman" w:eastAsia="Times New Roman" w:hAnsi="Times New Roman" w:cs="Times New Roman"/>
          <w:kern w:val="0"/>
          <w:lang w:eastAsia="en-AU"/>
          <w14:ligatures w14:val="none"/>
        </w:rPr>
        <w:t>Working Group Terms of Reference</w:t>
      </w:r>
      <w:r w:rsidRPr="00C40F2A">
        <w:rPr>
          <w:rFonts w:ascii="Times New Roman" w:eastAsia="Times New Roman" w:hAnsi="Times New Roman" w:cs="Times New Roman"/>
          <w:kern w:val="0"/>
          <w:lang w:eastAsia="en-AU"/>
          <w14:ligatures w14:val="none"/>
        </w:rPr>
        <w:t xml:space="preserve"> document. This Working Group mechanism ensures that North Pacific members have a strong voice in guiding the NPO and that there is transparency and collective ownership of sub-regional initiatives.</w:t>
      </w:r>
    </w:p>
    <w:p w14:paraId="0E955BE7" w14:textId="77777777" w:rsidR="00C40F2A" w:rsidRPr="00C40F2A" w:rsidRDefault="00C40F2A" w:rsidP="008E67D1">
      <w:pPr>
        <w:spacing w:before="100" w:beforeAutospacing="1" w:after="40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In addition to these formal mechanisms, continuous communication will be maintained through email, virtual conferencing, and periodic country visits. Whenever NPO staff travel from the Majuro office to other North Pacific members (or vice versa), those trips will be used as opportunities for face-to-face engagement, consultations, and follow-ups on climate finance matters. These efforts, combined with the CTSPF and Working Group, create a robust engagement framework that connects national priorities with sub-regional collaboration.</w:t>
      </w:r>
    </w:p>
    <w:p w14:paraId="12F370CE" w14:textId="77777777" w:rsidR="00C40F2A" w:rsidRPr="000761F4" w:rsidRDefault="00C40F2A" w:rsidP="00F16FEF">
      <w:pPr>
        <w:pStyle w:val="ListParagraph"/>
        <w:numPr>
          <w:ilvl w:val="1"/>
          <w:numId w:val="12"/>
        </w:numPr>
        <w:spacing w:before="100" w:beforeAutospacing="1" w:after="120" w:line="360" w:lineRule="auto"/>
        <w:ind w:hanging="612"/>
        <w:jc w:val="both"/>
        <w:outlineLvl w:val="2"/>
        <w:rPr>
          <w:rFonts w:ascii="Times New Roman" w:eastAsia="Times New Roman" w:hAnsi="Times New Roman" w:cs="Times New Roman"/>
          <w:kern w:val="0"/>
          <w:lang w:eastAsia="en-AU"/>
          <w14:ligatures w14:val="none"/>
        </w:rPr>
      </w:pPr>
      <w:bookmarkStart w:id="8" w:name="_Toc198652240"/>
      <w:r w:rsidRPr="000761F4">
        <w:rPr>
          <w:rFonts w:ascii="Times New Roman" w:eastAsia="Times New Roman" w:hAnsi="Times New Roman" w:cs="Times New Roman"/>
          <w:kern w:val="0"/>
          <w:lang w:eastAsia="en-AU"/>
          <w14:ligatures w14:val="none"/>
        </w:rPr>
        <w:t>Climate Finance Project Development and Support</w:t>
      </w:r>
      <w:bookmarkEnd w:id="8"/>
    </w:p>
    <w:p w14:paraId="203B580B" w14:textId="77777777" w:rsidR="00C40F2A" w:rsidRPr="00C40F2A" w:rsidRDefault="00C40F2A" w:rsidP="008E67D1">
      <w:pPr>
        <w:spacing w:after="36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A core function of this strategy is to facilitate the identification, design, and implementation of climate finance projects that meet North Pacific members’ needs. SPREP’s North Pacific Office and headquarters teams will work in tandem to support project development in two primary ways:</w:t>
      </w:r>
    </w:p>
    <w:p w14:paraId="4B08713B" w14:textId="77777777" w:rsidR="00CA4ABD" w:rsidRPr="00CA4ABD" w:rsidRDefault="00C40F2A" w:rsidP="00F16FEF">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Technical Assistance for National Climate Finance Opportunities</w:t>
      </w:r>
    </w:p>
    <w:p w14:paraId="1FAD633B" w14:textId="74D0BD4A" w:rsidR="00C40F2A" w:rsidRPr="00C40F2A" w:rsidRDefault="00C40F2A" w:rsidP="008E67D1">
      <w:pPr>
        <w:spacing w:after="24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SPREP (through CCR, </w:t>
      </w:r>
      <w:r w:rsidR="00CF0197">
        <w:rPr>
          <w:rFonts w:ascii="Times New Roman" w:eastAsia="Times New Roman" w:hAnsi="Times New Roman" w:cs="Times New Roman"/>
          <w:kern w:val="0"/>
          <w:lang w:eastAsia="en-AU"/>
          <w14:ligatures w14:val="none"/>
        </w:rPr>
        <w:t>SPPR</w:t>
      </w:r>
      <w:r w:rsidR="00501869">
        <w:rPr>
          <w:rFonts w:ascii="Times New Roman" w:eastAsia="Times New Roman" w:hAnsi="Times New Roman" w:cs="Times New Roman"/>
          <w:kern w:val="0"/>
          <w:lang w:eastAsia="en-AU"/>
          <w14:ligatures w14:val="none"/>
        </w:rPr>
        <w:t>M</w:t>
      </w:r>
      <w:r w:rsidRPr="00C40F2A">
        <w:rPr>
          <w:rFonts w:ascii="Times New Roman" w:eastAsia="Times New Roman" w:hAnsi="Times New Roman" w:cs="Times New Roman"/>
          <w:kern w:val="0"/>
          <w:lang w:eastAsia="en-AU"/>
          <w14:ligatures w14:val="none"/>
        </w:rPr>
        <w:t xml:space="preserve">, PCCC and NPO) will partner with North Pacific governments on their own funding opportunities. This may include helping National Designated Authorities (NDAs) and line ministries to develop project proposals for funds where the country is directly eligible (for instance, preparing a GCF concept note for a national project, or developing a proposal to a bilateral donor). SPREP can provide expertise in project design, logical </w:t>
      </w:r>
      <w:r w:rsidRPr="00C40F2A">
        <w:rPr>
          <w:rFonts w:ascii="Times New Roman" w:eastAsia="Times New Roman" w:hAnsi="Times New Roman" w:cs="Times New Roman"/>
          <w:kern w:val="0"/>
          <w:lang w:eastAsia="en-AU"/>
          <w14:ligatures w14:val="none"/>
        </w:rPr>
        <w:lastRenderedPageBreak/>
        <w:t>frameworks, budgeting, and safeguarding, or even serve as an implementation partner for certain components of national projects. In practice, this means if a member secures a grant (say from a bilateral program or a vertical fund) but needs implementation support, the NPO and SPREP could execute parts of the project or manage technical assistance on the ground. By offering this support, SPREP helps members translate funding opportunities into actual projects and ensures those projects are implemented to a high standard.</w:t>
      </w:r>
    </w:p>
    <w:p w14:paraId="5DC925A9" w14:textId="77777777" w:rsidR="00CA4ABD" w:rsidRPr="00CA4ABD" w:rsidRDefault="00C40F2A" w:rsidP="008E67D1">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SPREP as an Accredited Entity for Regional Proposals</w:t>
      </w:r>
    </w:p>
    <w:p w14:paraId="59C4A1FA" w14:textId="08B6ABE0" w:rsidR="00C40F2A" w:rsidRPr="00C40F2A" w:rsidRDefault="00C40F2A" w:rsidP="008E67D1">
      <w:pPr>
        <w:spacing w:after="36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SPREP is an accredited entity (AE) to major international climate funds – notably the Green Climate Fund (GCF) and the Adaptation Fund (AF). This accreditation allows SPREP to propose and implement multi-country or regional projects on behalf of its members. Under this strategy, SPREP will proactively identify and develop sub-regional climate finance proposals that bring together multiple North Pacific countries (or address shared Micronesia-wide challenges). The rationale for pursuing North Pacific multi-country projects (as opposed to Pacific-wide projects that include all regions) is strong: the North Pacific members share unique circumstances – for example, the prevalence of atolls and low islands, generally lower technical and financial capacity, remote locations and high cost of support delivery from traditional regional </w:t>
      </w:r>
      <w:proofErr w:type="spellStart"/>
      <w:r w:rsidRPr="00C40F2A">
        <w:rPr>
          <w:rFonts w:ascii="Times New Roman" w:eastAsia="Times New Roman" w:hAnsi="Times New Roman" w:cs="Times New Roman"/>
          <w:kern w:val="0"/>
          <w:lang w:eastAsia="en-AU"/>
          <w14:ligatures w14:val="none"/>
        </w:rPr>
        <w:t>centers</w:t>
      </w:r>
      <w:proofErr w:type="spellEnd"/>
      <w:r w:rsidRPr="00C40F2A">
        <w:rPr>
          <w:rFonts w:ascii="Times New Roman" w:eastAsia="Times New Roman" w:hAnsi="Times New Roman" w:cs="Times New Roman"/>
          <w:kern w:val="0"/>
          <w:lang w:eastAsia="en-AU"/>
          <w14:ligatures w14:val="none"/>
        </w:rPr>
        <w:t>. A dedicated North Pacific project can be tailored to these conditions and potentially managed more efficiently by having activities concentrated in the sub-region (with support through the NPO). Additionally, a North Pacific-focused project underscores the fact that this sub-region makes up one-third of SPREP’s total membership, warranting initiatives that specifically target its collective needs. Where appropriate, the NPO will help convene the countries to design these joint proposals, ensure country ownership, and assist in consultation processes. Potential themes for such multi-country projects might include ecosystem-based adaptation for atoll environments, climate-proofing waste management systems, or building capacity for accessing climate finance (e.g. a “climate finance access hub” for Micronesia).</w:t>
      </w:r>
    </w:p>
    <w:p w14:paraId="1CAF7022" w14:textId="77777777" w:rsidR="00CA4ABD" w:rsidRPr="00CA4ABD" w:rsidRDefault="00C40F2A" w:rsidP="008E67D1">
      <w:pPr>
        <w:pStyle w:val="ListParagraph"/>
        <w:numPr>
          <w:ilvl w:val="2"/>
          <w:numId w:val="12"/>
        </w:numPr>
        <w:spacing w:before="100" w:beforeAutospacing="1" w:after="0"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Strategic</w:t>
      </w:r>
      <w:r w:rsidRPr="00C40F2A">
        <w:rPr>
          <w:rFonts w:ascii="Times New Roman" w:eastAsia="Times New Roman" w:hAnsi="Times New Roman" w:cs="Times New Roman"/>
          <w:b/>
          <w:bCs/>
          <w:kern w:val="0"/>
          <w:lang w:eastAsia="en-AU"/>
          <w14:ligatures w14:val="none"/>
        </w:rPr>
        <w:t xml:space="preserve"> </w:t>
      </w:r>
      <w:r w:rsidRPr="00CA4ABD">
        <w:rPr>
          <w:rFonts w:ascii="Times New Roman" w:eastAsia="Times New Roman" w:hAnsi="Times New Roman" w:cs="Times New Roman"/>
          <w:kern w:val="0"/>
          <w:lang w:eastAsia="en-AU"/>
          <w14:ligatures w14:val="none"/>
        </w:rPr>
        <w:t>Focus Areas</w:t>
      </w:r>
    </w:p>
    <w:p w14:paraId="6786E1F6" w14:textId="2571E01D" w:rsidR="00C40F2A" w:rsidRPr="00CA4ABD" w:rsidRDefault="00C40F2A" w:rsidP="008E67D1">
      <w:pPr>
        <w:spacing w:after="240" w:line="340" w:lineRule="exact"/>
        <w:jc w:val="both"/>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In determining what projects to develop and support, SPREP will focus on areas of its comparative advantage and core mandate. This means prioritizing climate change projects that align with SPREP’s expertise in environmental management and resilience. Key focus areas likely include:</w:t>
      </w:r>
    </w:p>
    <w:p w14:paraId="3C979B05" w14:textId="77777777" w:rsidR="00C40F2A" w:rsidRPr="00C40F2A" w:rsidRDefault="00C40F2A" w:rsidP="008E67D1">
      <w:pPr>
        <w:numPr>
          <w:ilvl w:val="0"/>
          <w:numId w:val="5"/>
        </w:numPr>
        <w:spacing w:after="120" w:line="340" w:lineRule="exact"/>
        <w:ind w:left="714" w:hanging="357"/>
        <w:jc w:val="both"/>
        <w:rPr>
          <w:rFonts w:ascii="Times New Roman" w:eastAsia="Times New Roman" w:hAnsi="Times New Roman" w:cs="Times New Roman"/>
          <w:kern w:val="0"/>
          <w:lang w:eastAsia="en-AU"/>
          <w14:ligatures w14:val="none"/>
        </w:rPr>
      </w:pPr>
      <w:r w:rsidRPr="00501869">
        <w:rPr>
          <w:rFonts w:ascii="Times New Roman" w:eastAsia="Times New Roman" w:hAnsi="Times New Roman" w:cs="Times New Roman"/>
          <w:i/>
          <w:iCs/>
          <w:kern w:val="0"/>
          <w:lang w:eastAsia="en-AU"/>
          <w14:ligatures w14:val="none"/>
        </w:rPr>
        <w:t>Waste Management and Pollution Control under a changing climate:</w:t>
      </w:r>
      <w:r w:rsidRPr="00C40F2A">
        <w:rPr>
          <w:rFonts w:ascii="Times New Roman" w:eastAsia="Times New Roman" w:hAnsi="Times New Roman" w:cs="Times New Roman"/>
          <w:kern w:val="0"/>
          <w:lang w:eastAsia="en-AU"/>
          <w14:ligatures w14:val="none"/>
        </w:rPr>
        <w:t xml:space="preserve"> helping countries address solid and hazardous waste challenges exacerbated by climate change (for instance, managing disaster debris or expanding waste systems to handle changing conditions).</w:t>
      </w:r>
    </w:p>
    <w:p w14:paraId="1F22E3F0" w14:textId="77777777" w:rsidR="00C40F2A" w:rsidRPr="00C40F2A" w:rsidRDefault="00C40F2A" w:rsidP="008E67D1">
      <w:pPr>
        <w:numPr>
          <w:ilvl w:val="0"/>
          <w:numId w:val="5"/>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01869">
        <w:rPr>
          <w:rFonts w:ascii="Times New Roman" w:eastAsia="Times New Roman" w:hAnsi="Times New Roman" w:cs="Times New Roman"/>
          <w:i/>
          <w:iCs/>
          <w:kern w:val="0"/>
          <w:lang w:eastAsia="en-AU"/>
          <w14:ligatures w14:val="none"/>
        </w:rPr>
        <w:lastRenderedPageBreak/>
        <w:t>Biodiversity and Ecosystem-based Adaptation:</w:t>
      </w:r>
      <w:r w:rsidRPr="00C40F2A">
        <w:rPr>
          <w:rFonts w:ascii="Times New Roman" w:eastAsia="Times New Roman" w:hAnsi="Times New Roman" w:cs="Times New Roman"/>
          <w:kern w:val="0"/>
          <w:lang w:eastAsia="en-AU"/>
          <w14:ligatures w14:val="none"/>
        </w:rPr>
        <w:t xml:space="preserve"> protecting ecosystems and natural resources (forests, reefs, mangroves) to strengthen resilience to climate impacts, including controlling invasive species that threaten climate-vulnerable ecosystems.</w:t>
      </w:r>
    </w:p>
    <w:p w14:paraId="188F2EDA" w14:textId="77777777" w:rsidR="00C40F2A" w:rsidRPr="00C40F2A" w:rsidRDefault="00C40F2A" w:rsidP="008E67D1">
      <w:pPr>
        <w:numPr>
          <w:ilvl w:val="0"/>
          <w:numId w:val="5"/>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01869">
        <w:rPr>
          <w:rFonts w:ascii="Times New Roman" w:eastAsia="Times New Roman" w:hAnsi="Times New Roman" w:cs="Times New Roman"/>
          <w:i/>
          <w:iCs/>
          <w:kern w:val="0"/>
          <w:lang w:eastAsia="en-AU"/>
          <w14:ligatures w14:val="none"/>
        </w:rPr>
        <w:t>Nature-based Solutions for Adaptation:</w:t>
      </w:r>
      <w:r w:rsidRPr="00C40F2A">
        <w:rPr>
          <w:rFonts w:ascii="Times New Roman" w:eastAsia="Times New Roman" w:hAnsi="Times New Roman" w:cs="Times New Roman"/>
          <w:kern w:val="0"/>
          <w:lang w:eastAsia="en-AU"/>
          <w14:ligatures w14:val="none"/>
        </w:rPr>
        <w:t xml:space="preserve"> restoring or protecting natural systems (e.g. rehabilitating coastal ecosystems for flood protection, or ecosystem restoration to secure water supplies under drought conditions).</w:t>
      </w:r>
    </w:p>
    <w:p w14:paraId="480531AB" w14:textId="77777777" w:rsidR="00C40F2A" w:rsidRPr="00C40F2A" w:rsidRDefault="00C40F2A" w:rsidP="00F16FEF">
      <w:pPr>
        <w:numPr>
          <w:ilvl w:val="0"/>
          <w:numId w:val="5"/>
        </w:numPr>
        <w:spacing w:before="100" w:beforeAutospacing="1" w:after="0" w:line="340" w:lineRule="exact"/>
        <w:ind w:left="714" w:hanging="357"/>
        <w:jc w:val="both"/>
        <w:rPr>
          <w:rFonts w:ascii="Times New Roman" w:eastAsia="Times New Roman" w:hAnsi="Times New Roman" w:cs="Times New Roman"/>
          <w:kern w:val="0"/>
          <w:lang w:eastAsia="en-AU"/>
          <w14:ligatures w14:val="none"/>
        </w:rPr>
      </w:pPr>
      <w:r w:rsidRPr="00501869">
        <w:rPr>
          <w:rFonts w:ascii="Times New Roman" w:eastAsia="Times New Roman" w:hAnsi="Times New Roman" w:cs="Times New Roman"/>
          <w:i/>
          <w:iCs/>
          <w:kern w:val="0"/>
          <w:lang w:eastAsia="en-AU"/>
          <w14:ligatures w14:val="none"/>
        </w:rPr>
        <w:t>Climate-proofing Environmental Governance:</w:t>
      </w:r>
      <w:r w:rsidRPr="00C40F2A">
        <w:rPr>
          <w:rFonts w:ascii="Times New Roman" w:eastAsia="Times New Roman" w:hAnsi="Times New Roman" w:cs="Times New Roman"/>
          <w:kern w:val="0"/>
          <w:lang w:eastAsia="en-AU"/>
          <w14:ligatures w14:val="none"/>
        </w:rPr>
        <w:t xml:space="preserve"> providing technical support for integrating climate risks into Environmental Impact Assessments (EIA) and Strategic Environmental Assessments (SEA) for infrastructure and development planning, ensuring that new projects in member countries are resilient and environmentally sound.</w:t>
      </w:r>
    </w:p>
    <w:p w14:paraId="0A4F4A1C" w14:textId="77777777" w:rsidR="00C40F2A" w:rsidRPr="00C40F2A" w:rsidRDefault="00C40F2A" w:rsidP="00F16FEF">
      <w:pPr>
        <w:spacing w:before="240" w:after="0" w:line="340" w:lineRule="exact"/>
        <w:jc w:val="both"/>
        <w:rPr>
          <w:rFonts w:ascii="Times New Roman" w:eastAsia="Times New Roman" w:hAnsi="Times New Roman" w:cs="Times New Roman"/>
          <w:kern w:val="0"/>
          <w:lang w:eastAsia="en-AU"/>
          <w14:ligatures w14:val="none"/>
        </w:rPr>
      </w:pPr>
      <w:r w:rsidRPr="00501869">
        <w:rPr>
          <w:rFonts w:ascii="Times New Roman" w:eastAsia="Times New Roman" w:hAnsi="Times New Roman" w:cs="Times New Roman"/>
          <w:i/>
          <w:iCs/>
          <w:kern w:val="0"/>
          <w:lang w:eastAsia="en-AU"/>
          <w14:ligatures w14:val="none"/>
        </w:rPr>
        <w:t>By focusing on these domains</w:t>
      </w:r>
      <w:r w:rsidRPr="00C40F2A">
        <w:rPr>
          <w:rFonts w:ascii="Times New Roman" w:eastAsia="Times New Roman" w:hAnsi="Times New Roman" w:cs="Times New Roman"/>
          <w:kern w:val="0"/>
          <w:lang w:eastAsia="en-AU"/>
          <w14:ligatures w14:val="none"/>
        </w:rPr>
        <w:t>, SPREP leverages its institutional strengths. Other sectors – for example, large-scale infrastructure, public health (including water, sanitation, hygiene), or agricultural development – are better addressed by agencies that have a stronger presence and mandate in those areas (such as multilateral development banks, UNDP/FAO, or bilateral programs). SPREP will coordinate with those partners (see next section) but will generally not lead projects in sectors outside its core expertise. This targeted approach ensures SPREP’s resources are used most effectively and avoids duplicating efforts.</w:t>
      </w:r>
    </w:p>
    <w:p w14:paraId="1EDAD79C" w14:textId="77777777" w:rsidR="00C40F2A" w:rsidRPr="00C40F2A" w:rsidRDefault="00C40F2A" w:rsidP="00F16FEF">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501869">
        <w:rPr>
          <w:rFonts w:ascii="Times New Roman" w:eastAsia="Times New Roman" w:hAnsi="Times New Roman" w:cs="Times New Roman"/>
          <w:i/>
          <w:iCs/>
          <w:kern w:val="0"/>
          <w:lang w:eastAsia="en-AU"/>
          <w14:ligatures w14:val="none"/>
        </w:rPr>
        <w:t>In the short term</w:t>
      </w:r>
      <w:r w:rsidRPr="00C40F2A">
        <w:rPr>
          <w:rFonts w:ascii="Times New Roman" w:eastAsia="Times New Roman" w:hAnsi="Times New Roman" w:cs="Times New Roman"/>
          <w:kern w:val="0"/>
          <w:lang w:eastAsia="en-AU"/>
          <w14:ligatures w14:val="none"/>
        </w:rPr>
        <w:t>, the North Pacific Office will work closely with SPREP’s Accredited Entity coordination team to program SPREP’s GCF Entity Work Programme and Adaptation Fund pipeline in alignment with North Pacific priorities. North Pacific concepts will be advocated for inclusion in SPREP’s portfolio. Over time, as more climate finance projects are successfully secured and implemented, it is expected that additional specialized staff (climate finance officers, project managers) will join the NPO team, enabling the office to take on a more direct role in project execution locally. This evolution – from primarily coordination and facilitation now, to potentially leading implementation of some projects later – is a key aim of the strategy to ensure sustainable in-region capacity.</w:t>
      </w:r>
    </w:p>
    <w:p w14:paraId="4C8E416E" w14:textId="77777777" w:rsidR="00C40F2A" w:rsidRPr="000761F4" w:rsidRDefault="00C40F2A" w:rsidP="00F16FEF">
      <w:pPr>
        <w:pStyle w:val="ListParagraph"/>
        <w:numPr>
          <w:ilvl w:val="1"/>
          <w:numId w:val="12"/>
        </w:numPr>
        <w:spacing w:before="100" w:beforeAutospacing="1" w:after="120" w:line="360" w:lineRule="auto"/>
        <w:ind w:hanging="612"/>
        <w:jc w:val="both"/>
        <w:outlineLvl w:val="2"/>
        <w:rPr>
          <w:rFonts w:ascii="Times New Roman" w:eastAsia="Times New Roman" w:hAnsi="Times New Roman" w:cs="Times New Roman"/>
          <w:kern w:val="0"/>
          <w:lang w:eastAsia="en-AU"/>
          <w14:ligatures w14:val="none"/>
        </w:rPr>
      </w:pPr>
      <w:bookmarkStart w:id="9" w:name="_Toc198652241"/>
      <w:r w:rsidRPr="000761F4">
        <w:rPr>
          <w:rFonts w:ascii="Times New Roman" w:eastAsia="Times New Roman" w:hAnsi="Times New Roman" w:cs="Times New Roman"/>
          <w:kern w:val="0"/>
          <w:lang w:eastAsia="en-AU"/>
          <w14:ligatures w14:val="none"/>
        </w:rPr>
        <w:t>Partnerships and Regional Collaboration</w:t>
      </w:r>
      <w:bookmarkEnd w:id="9"/>
    </w:p>
    <w:p w14:paraId="0870F6ED" w14:textId="77777777" w:rsidR="00C40F2A" w:rsidRPr="00C40F2A" w:rsidRDefault="00C40F2A" w:rsidP="00F16FEF">
      <w:pPr>
        <w:spacing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Achieving climate finance outcomes in the North Pacific will require strong partnerships, both within the region and internationally. The SPREP NPO will actively collaborate with other organizations, institutions, and initiatives to mobilize resources and avoid working in isolation. Key collaborative arrangements include:</w:t>
      </w:r>
    </w:p>
    <w:p w14:paraId="5D84A83B" w14:textId="77777777" w:rsidR="00CA4ABD" w:rsidRPr="00CA4ABD" w:rsidRDefault="00C40F2A" w:rsidP="00F16FEF">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Partnering with Accredited Entities and Donor Agencies</w:t>
      </w:r>
    </w:p>
    <w:p w14:paraId="70BD8D07" w14:textId="21809945" w:rsidR="00C40F2A" w:rsidRPr="00C40F2A" w:rsidRDefault="00C40F2A" w:rsidP="00F16FEF">
      <w:pPr>
        <w:spacing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There are multiple Accredited Entities (AEs) to the GCF and implementing agencies to the Adaptation Fund that are active in the Pacific region, many with a presence or projects in </w:t>
      </w:r>
      <w:r w:rsidRPr="00C40F2A">
        <w:rPr>
          <w:rFonts w:ascii="Times New Roman" w:eastAsia="Times New Roman" w:hAnsi="Times New Roman" w:cs="Times New Roman"/>
          <w:kern w:val="0"/>
          <w:lang w:eastAsia="en-AU"/>
          <w14:ligatures w14:val="none"/>
        </w:rPr>
        <w:lastRenderedPageBreak/>
        <w:t>Micronesia. Rather than competing, SPREP seeks to form partnerships with these entities to co-create or co-implement projects. Potential partners include:</w:t>
      </w:r>
    </w:p>
    <w:p w14:paraId="2F466CCD" w14:textId="77777777" w:rsidR="00CA4ABD" w:rsidRPr="00CA4ABD" w:rsidRDefault="00C40F2A" w:rsidP="00F16FEF">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Multilateral Development Banks</w:t>
      </w:r>
    </w:p>
    <w:p w14:paraId="32D848D2" w14:textId="45D8F547" w:rsidR="00C40F2A" w:rsidRPr="00CA4ABD" w:rsidRDefault="00C40F2A" w:rsidP="00F16FEF">
      <w:pPr>
        <w:spacing w:after="240" w:line="340" w:lineRule="exact"/>
        <w:jc w:val="both"/>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The Asian Development Bank (ADB) and the World Bank both fund substantial climate and development projects in the North Pacific (and are also Adaptation Fund Multilateral Implementing Entities). Collaboration could involve SPREP providing environmental expertise or community engagement support within larger infrastructure projects, or co-financing certain project components.</w:t>
      </w:r>
    </w:p>
    <w:p w14:paraId="222D746D" w14:textId="77777777" w:rsidR="00CA4ABD" w:rsidRPr="00CA4ABD" w:rsidRDefault="00C40F2A" w:rsidP="00F16FEF">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United Nations Agencies</w:t>
      </w:r>
    </w:p>
    <w:p w14:paraId="2E6E5CC2" w14:textId="373721B1" w:rsidR="00C40F2A" w:rsidRPr="00C40F2A" w:rsidRDefault="00C40F2A" w:rsidP="00F16FEF">
      <w:pPr>
        <w:spacing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Agencies such as UNDP, UNEP, FAO, UNESCO and others play a significant role in climate finance (each also serves as an AF implementing agency). SPREP will coordinate with UN agencies’ programs to ensure complementarities – for example, if UNDP is preparing a GCF project for RMI, SPREP/NPO can offer support or focus on a different niche that complements it.</w:t>
      </w:r>
    </w:p>
    <w:p w14:paraId="10069880" w14:textId="77777777" w:rsidR="00CA4ABD" w:rsidRPr="00CA4ABD" w:rsidRDefault="00C40F2A" w:rsidP="00F16FEF">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Regional Organizations</w:t>
      </w:r>
    </w:p>
    <w:p w14:paraId="5AE9485B" w14:textId="68152390" w:rsidR="00C40F2A" w:rsidRPr="00C40F2A" w:rsidRDefault="00C40F2A" w:rsidP="00F16FEF">
      <w:pPr>
        <w:spacing w:after="36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The Pacific Community (SPC), particularly through its North Pacific Regional Office in Pohnpei and technical divisions in New Caledonia and Fiji, is a key partner. SPREP will work with SPC on areas of overlap (such as climate science, meteorology, and disaster risk reduction) and look for joint initiatives. For instance, an SPC-SPREP collaboration might support a national government to strengthen climate data (SPC’s forte) alongside ecosystem-based adaptation (SPREP’s forte).</w:t>
      </w:r>
    </w:p>
    <w:p w14:paraId="0178FDB9" w14:textId="77777777" w:rsidR="00CA4ABD" w:rsidRPr="00CA4ABD" w:rsidRDefault="00C40F2A" w:rsidP="00F16FEF">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National and Local Entities</w:t>
      </w:r>
    </w:p>
    <w:p w14:paraId="4289A8A5" w14:textId="19AA5D7A" w:rsidR="00C40F2A" w:rsidRPr="00C40F2A" w:rsidRDefault="00C40F2A" w:rsidP="00F16FEF">
      <w:pPr>
        <w:spacing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The FSM Development Bank (an accredited entity to the AF), the Micronesia Conservation Trust (MCT, an accredited National Implementing Entity to the AF), and other local institutions are important players in Micronesia’s climate finance landscape. SPREP will explore partnerships where, for example, SPREP might join forces with MCT or FSM Dev. Bank on a project that requires both local trust fund management and regional technical expertise. Non-governmental organizations like The Nature Conservancy (TNC) and the International Union for Conservation of Nature (IUCN) also have ongoing conservation and climate programs in the North Pacific; aligning efforts with them (through information sharing, joint events, or even co-designing projects) can increase overall impact. JICA (Japan International Cooperation Agency) and other bilateral technical agencies could also be engaged for technical cooperation opportunities.</w:t>
      </w:r>
    </w:p>
    <w:p w14:paraId="361796C3" w14:textId="77777777" w:rsidR="00C40F2A" w:rsidRPr="00C40F2A" w:rsidRDefault="00C40F2A" w:rsidP="00F16FEF">
      <w:pPr>
        <w:spacing w:before="100" w:beforeAutospacing="1" w:after="32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lastRenderedPageBreak/>
        <w:t>Through these partnerships, SPREP aims to harmonize activities and leverage comparative advantages. For North Pacific governments, this should result in more cohesive support rather than duplicated or fragmented projects. A practical step under this strategy will be regular information exchange – the NPO will maintain communication with key partner agency offices in the region (for example, the TNC Micronesia Office in Palau, the UN Joint Presence office in FSM, etc.). NPO staff will take opportunities to meet partner representatives in person when traveling within the region or when partners visit Majuro. These relationship-building efforts are expected to yield new collaborative projects and funding proposals.</w:t>
      </w:r>
    </w:p>
    <w:p w14:paraId="4AC91FC5" w14:textId="77777777" w:rsidR="00CA4ABD" w:rsidRPr="00CA4ABD" w:rsidRDefault="00C40F2A" w:rsidP="00F16FEF">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Micronesia-Wide Initiatives and Political Groupings</w:t>
      </w:r>
    </w:p>
    <w:p w14:paraId="41FF81FE" w14:textId="20D4AF85" w:rsidR="00C40F2A" w:rsidRPr="00C40F2A" w:rsidRDefault="00C40F2A" w:rsidP="00F16FEF">
      <w:pPr>
        <w:spacing w:after="32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The North Pacific Office will also engage with established sub-regional cooperative groups, such as the Micronesia Islands Forum (MIF) and the Micronesian Presidents’ Summit (MPS). The MIF is a coalition of Micronesian leaders that convenes to discuss common issues, and it has various thematic committees – for example, the Micronesia Challenge (focused on conservation financing), the Pacific Islands Regional Recycling Initiative Committee (PIRRIC), and the Regional Invasive Species Council (RISC) – where SPREP’s mandate overlaps. The SPREP NPO already participates virtually in these MIF sub-committee meetings and is a member of some working groups (providing input especially on topics like biodiversity, waste management, and climate resilience). Under this strategy, SPREP will continue to be an active contributor to MIF initiatives, ensuring that environmental and climate finance considerations are well represented. When the annual Micronesia Islands Forum in-person meeting takes place, the NPO will </w:t>
      </w:r>
      <w:proofErr w:type="spellStart"/>
      <w:r w:rsidRPr="00C40F2A">
        <w:rPr>
          <w:rFonts w:ascii="Times New Roman" w:eastAsia="Times New Roman" w:hAnsi="Times New Roman" w:cs="Times New Roman"/>
          <w:kern w:val="0"/>
          <w:lang w:eastAsia="en-AU"/>
          <w14:ligatures w14:val="none"/>
        </w:rPr>
        <w:t>endeavor</w:t>
      </w:r>
      <w:proofErr w:type="spellEnd"/>
      <w:r w:rsidRPr="00C40F2A">
        <w:rPr>
          <w:rFonts w:ascii="Times New Roman" w:eastAsia="Times New Roman" w:hAnsi="Times New Roman" w:cs="Times New Roman"/>
          <w:kern w:val="0"/>
          <w:lang w:eastAsia="en-AU"/>
          <w14:ligatures w14:val="none"/>
        </w:rPr>
        <w:t xml:space="preserve"> to attend and contribute, subject to availability of travel funding (often, this may require that costs are covered by a SPREP project or by the organizers, given the NPO’s lack of its own travel budget). Similarly, the Micronesian Presidents’ Summit (which includes the leaders of FSM, RMI, Palau, plus at times observers from territories) provides a high-level political platform; SPREP will support North Pacific members in following up on any climate finance-related directives that emerge from these summits and offer technical backstopping as needed.</w:t>
      </w:r>
    </w:p>
    <w:p w14:paraId="0E49D6F0" w14:textId="77777777" w:rsidR="00CA4ABD" w:rsidRPr="00CA4ABD" w:rsidRDefault="00C40F2A" w:rsidP="00F16FEF">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CA4ABD">
        <w:rPr>
          <w:rFonts w:ascii="Times New Roman" w:eastAsia="Times New Roman" w:hAnsi="Times New Roman" w:cs="Times New Roman"/>
          <w:kern w:val="0"/>
          <w:lang w:eastAsia="en-AU"/>
          <w14:ligatures w14:val="none"/>
        </w:rPr>
        <w:t>Alignment with Regional Climate Finance Architecture</w:t>
      </w:r>
    </w:p>
    <w:p w14:paraId="022ACE3C" w14:textId="41C769B6" w:rsidR="00C40F2A" w:rsidRPr="00C40F2A" w:rsidRDefault="00C40F2A" w:rsidP="00F16FEF">
      <w:pPr>
        <w:spacing w:after="20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At the broader regional level, the Pacific climate finance landscape is evolving with new coordination mechanisms. Notably, the Pacific Islands Forum Secretariat (PIFS) is finalizing the Pacific Island Countries Climate Finance Access and Mobilization Strategy (2024–2030) mentioned earlier. Once this strategy is formally approved by Pacific leaders, it will establish several institutional arrangements to improve coordination of climate finance across the region. SPREP will align its NPO Engagement Strategy with these arrangements and play an active role in them, to ensure North Pacific interests are represented. In particular:</w:t>
      </w:r>
    </w:p>
    <w:p w14:paraId="3F3688EC" w14:textId="3B69D507" w:rsidR="00C40F2A" w:rsidRPr="00C40F2A" w:rsidRDefault="00C40F2A" w:rsidP="00F16FEF">
      <w:pPr>
        <w:numPr>
          <w:ilvl w:val="0"/>
          <w:numId w:val="13"/>
        </w:numPr>
        <w:spacing w:after="120" w:line="340" w:lineRule="exact"/>
        <w:ind w:left="714" w:hanging="357"/>
        <w:jc w:val="both"/>
        <w:rPr>
          <w:rFonts w:ascii="Times New Roman" w:eastAsia="Times New Roman" w:hAnsi="Times New Roman" w:cs="Times New Roman"/>
          <w:kern w:val="0"/>
          <w:lang w:eastAsia="en-AU"/>
          <w14:ligatures w14:val="none"/>
        </w:rPr>
      </w:pPr>
      <w:r w:rsidRPr="00501869">
        <w:rPr>
          <w:rFonts w:ascii="Times New Roman" w:eastAsia="Times New Roman" w:hAnsi="Times New Roman" w:cs="Times New Roman"/>
          <w:i/>
          <w:iCs/>
          <w:kern w:val="0"/>
          <w:lang w:eastAsia="en-AU"/>
          <w14:ligatures w14:val="none"/>
        </w:rPr>
        <w:t>High-Level Oversight Committee</w:t>
      </w:r>
      <w:r w:rsidRPr="00C40F2A">
        <w:rPr>
          <w:rFonts w:ascii="Times New Roman" w:eastAsia="Times New Roman" w:hAnsi="Times New Roman" w:cs="Times New Roman"/>
          <w:b/>
          <w:bCs/>
          <w:kern w:val="0"/>
          <w:lang w:eastAsia="en-AU"/>
          <w14:ligatures w14:val="none"/>
        </w:rPr>
        <w:t>:</w:t>
      </w:r>
      <w:r w:rsidRPr="00C40F2A">
        <w:rPr>
          <w:rFonts w:ascii="Times New Roman" w:eastAsia="Times New Roman" w:hAnsi="Times New Roman" w:cs="Times New Roman"/>
          <w:kern w:val="0"/>
          <w:lang w:eastAsia="en-AU"/>
          <w14:ligatures w14:val="none"/>
        </w:rPr>
        <w:t xml:space="preserve"> A high-level oversight committee is expected to be formed under the PIFS strategy, comprising senior representatives of regional agencies </w:t>
      </w:r>
      <w:r w:rsidRPr="00C40F2A">
        <w:rPr>
          <w:rFonts w:ascii="Times New Roman" w:eastAsia="Times New Roman" w:hAnsi="Times New Roman" w:cs="Times New Roman"/>
          <w:kern w:val="0"/>
          <w:lang w:eastAsia="en-AU"/>
          <w14:ligatures w14:val="none"/>
        </w:rPr>
        <w:lastRenderedPageBreak/>
        <w:t>and possibly ministers from member countries, to oversee implementation of the regional climate finance strategy. SPREP will be represented on this committee (likely by a member of its Senior Management Team, such as the Director General, Deputy Director General, or the CCR Director). The NPO will maintain strong communication with SPREP’s representative before and after each Oversight Committee meeting so that North Pacific perspectives are fed in and any decisions or guidance from the committee are relayed back to the NPO for implementation.</w:t>
      </w:r>
      <w:r w:rsidR="00E83F3E">
        <w:rPr>
          <w:rFonts w:ascii="Times New Roman" w:eastAsia="Times New Roman" w:hAnsi="Times New Roman" w:cs="Times New Roman"/>
          <w:kern w:val="0"/>
          <w:lang w:eastAsia="en-AU"/>
          <w14:ligatures w14:val="none"/>
        </w:rPr>
        <w:t xml:space="preserve"> </w:t>
      </w:r>
    </w:p>
    <w:p w14:paraId="2A2F9743" w14:textId="77777777" w:rsidR="00C40F2A" w:rsidRPr="00C40F2A" w:rsidRDefault="00C40F2A" w:rsidP="00F16FEF">
      <w:pPr>
        <w:numPr>
          <w:ilvl w:val="0"/>
          <w:numId w:val="1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E83F3E">
        <w:rPr>
          <w:rFonts w:ascii="Times New Roman" w:eastAsia="Times New Roman" w:hAnsi="Times New Roman" w:cs="Times New Roman"/>
          <w:i/>
          <w:iCs/>
          <w:kern w:val="0"/>
          <w:lang w:eastAsia="en-AU"/>
          <w14:ligatures w14:val="none"/>
        </w:rPr>
        <w:t>Climate Finance Coordination Unit at PIFS:</w:t>
      </w:r>
      <w:r w:rsidRPr="00C40F2A">
        <w:rPr>
          <w:rFonts w:ascii="Times New Roman" w:eastAsia="Times New Roman" w:hAnsi="Times New Roman" w:cs="Times New Roman"/>
          <w:kern w:val="0"/>
          <w:lang w:eastAsia="en-AU"/>
          <w14:ligatures w14:val="none"/>
        </w:rPr>
        <w:t xml:space="preserve"> A Climate Finance Coordination Unit will be established at PIFS as a centralized hub with dedicated staff and resources to coordinate activities, facilitate communication among stakeholders, manage data and information, and monitor progress of the regional strategy. SPREP’s CCR programme will serve as the principal liaison with this PIFS unit. The North Pacific Office will work closely with CCR to ensure that information from the PIFS coordination unit (such as funding opportunity alerts, technical assistance offers, or data requests) is </w:t>
      </w:r>
      <w:proofErr w:type="spellStart"/>
      <w:r w:rsidRPr="00C40F2A">
        <w:rPr>
          <w:rFonts w:ascii="Times New Roman" w:eastAsia="Times New Roman" w:hAnsi="Times New Roman" w:cs="Times New Roman"/>
          <w:kern w:val="0"/>
          <w:lang w:eastAsia="en-AU"/>
          <w14:ligatures w14:val="none"/>
        </w:rPr>
        <w:t>channeled</w:t>
      </w:r>
      <w:proofErr w:type="spellEnd"/>
      <w:r w:rsidRPr="00C40F2A">
        <w:rPr>
          <w:rFonts w:ascii="Times New Roman" w:eastAsia="Times New Roman" w:hAnsi="Times New Roman" w:cs="Times New Roman"/>
          <w:kern w:val="0"/>
          <w:lang w:eastAsia="en-AU"/>
          <w14:ligatures w14:val="none"/>
        </w:rPr>
        <w:t xml:space="preserve"> to North Pacific stakeholders, and conversely, that the needs and progress of North Pacific members are communicated back to the regional level. This close collaboration aims to maximize the benefits for North Pacific members from any regional climate finance support initiatives.</w:t>
      </w:r>
    </w:p>
    <w:p w14:paraId="7ECAA16E" w14:textId="21BEE49C" w:rsidR="00C40F2A" w:rsidRPr="00C40F2A" w:rsidRDefault="00C40F2A" w:rsidP="00F16FEF">
      <w:pPr>
        <w:numPr>
          <w:ilvl w:val="0"/>
          <w:numId w:val="1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E83F3E">
        <w:rPr>
          <w:rFonts w:ascii="Times New Roman" w:eastAsia="Times New Roman" w:hAnsi="Times New Roman" w:cs="Times New Roman"/>
          <w:i/>
          <w:iCs/>
          <w:kern w:val="0"/>
          <w:lang w:eastAsia="en-AU"/>
          <w14:ligatures w14:val="none"/>
        </w:rPr>
        <w:t>Technical</w:t>
      </w:r>
      <w:r w:rsidRPr="00C40F2A">
        <w:rPr>
          <w:rFonts w:ascii="Times New Roman" w:eastAsia="Times New Roman" w:hAnsi="Times New Roman" w:cs="Times New Roman"/>
          <w:b/>
          <w:bCs/>
          <w:kern w:val="0"/>
          <w:lang w:eastAsia="en-AU"/>
          <w14:ligatures w14:val="none"/>
        </w:rPr>
        <w:t xml:space="preserve"> </w:t>
      </w:r>
      <w:r w:rsidRPr="00E83F3E">
        <w:rPr>
          <w:rFonts w:ascii="Times New Roman" w:eastAsia="Times New Roman" w:hAnsi="Times New Roman" w:cs="Times New Roman"/>
          <w:i/>
          <w:iCs/>
          <w:kern w:val="0"/>
          <w:lang w:eastAsia="en-AU"/>
          <w14:ligatures w14:val="none"/>
        </w:rPr>
        <w:t>Support and Capacity Building Team:</w:t>
      </w:r>
      <w:r w:rsidRPr="00C40F2A">
        <w:rPr>
          <w:rFonts w:ascii="Times New Roman" w:eastAsia="Times New Roman" w:hAnsi="Times New Roman" w:cs="Times New Roman"/>
          <w:kern w:val="0"/>
          <w:lang w:eastAsia="en-AU"/>
          <w14:ligatures w14:val="none"/>
        </w:rPr>
        <w:t xml:space="preserve"> A technical support and capacity-building team is another element of the PIFS strategy – essentially a roster of experts in areas like climate finance, project formulation, policy, and sector-specific fields to provide on-demand assistance to countries. SPREP will coordinate with this team through its CCR programme and NPO. For example, if a North Pacific country needs expert help to draft a GCF funding proposal, SPREP could facilitate the deployment of a specialist from this regional team </w:t>
      </w:r>
      <w:r w:rsidR="00CF0197">
        <w:rPr>
          <w:rFonts w:ascii="Times New Roman" w:eastAsia="Times New Roman" w:hAnsi="Times New Roman" w:cs="Times New Roman"/>
          <w:kern w:val="0"/>
          <w:lang w:eastAsia="en-AU"/>
          <w14:ligatures w14:val="none"/>
        </w:rPr>
        <w:t xml:space="preserve">that are registered under the Tomai </w:t>
      </w:r>
      <w:proofErr w:type="spellStart"/>
      <w:r w:rsidR="00CF0197">
        <w:rPr>
          <w:rFonts w:ascii="Times New Roman" w:eastAsia="Times New Roman" w:hAnsi="Times New Roman" w:cs="Times New Roman"/>
          <w:kern w:val="0"/>
          <w:lang w:eastAsia="en-AU"/>
          <w14:ligatures w14:val="none"/>
        </w:rPr>
        <w:t>Pacifique</w:t>
      </w:r>
      <w:proofErr w:type="spellEnd"/>
      <w:r w:rsidR="00CF0197">
        <w:rPr>
          <w:rFonts w:ascii="Times New Roman" w:eastAsia="Times New Roman" w:hAnsi="Times New Roman" w:cs="Times New Roman"/>
          <w:kern w:val="0"/>
          <w:lang w:eastAsia="en-AU"/>
          <w14:ligatures w14:val="none"/>
        </w:rPr>
        <w:t xml:space="preserve"> </w:t>
      </w:r>
      <w:r w:rsidRPr="00C40F2A">
        <w:rPr>
          <w:rFonts w:ascii="Times New Roman" w:eastAsia="Times New Roman" w:hAnsi="Times New Roman" w:cs="Times New Roman"/>
          <w:kern w:val="0"/>
          <w:lang w:eastAsia="en-AU"/>
          <w14:ligatures w14:val="none"/>
        </w:rPr>
        <w:t>(or contribute its own expert). The NPO will ensure that such technical support is effectively utilized on the ground and aligns with SPREP’s other efforts in the country.</w:t>
      </w:r>
    </w:p>
    <w:p w14:paraId="3E9FECBA" w14:textId="77777777" w:rsidR="00C40F2A" w:rsidRPr="00C40F2A" w:rsidRDefault="00C40F2A" w:rsidP="00F16FEF">
      <w:pPr>
        <w:numPr>
          <w:ilvl w:val="0"/>
          <w:numId w:val="1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E83F3E">
        <w:rPr>
          <w:rFonts w:ascii="Times New Roman" w:eastAsia="Times New Roman" w:hAnsi="Times New Roman" w:cs="Times New Roman"/>
          <w:i/>
          <w:iCs/>
          <w:kern w:val="0"/>
          <w:lang w:eastAsia="en-AU"/>
          <w14:ligatures w14:val="none"/>
        </w:rPr>
        <w:t>Regional and International Liaison Group:</w:t>
      </w:r>
      <w:r w:rsidRPr="00C40F2A">
        <w:rPr>
          <w:rFonts w:ascii="Times New Roman" w:eastAsia="Times New Roman" w:hAnsi="Times New Roman" w:cs="Times New Roman"/>
          <w:kern w:val="0"/>
          <w:lang w:eastAsia="en-AU"/>
          <w14:ligatures w14:val="none"/>
        </w:rPr>
        <w:t xml:space="preserve"> A regional and international liaison group is planned, involving representatives from PIFS, international climate fund secretariats (GCF, AF, etc.), multilateral development banks, and donor agencies. The goal of this group is to improve partnerships with international financiers and ensure alignment of their support with Pacific priorities. SPREP (through CCR and its partnerships unit) will engage with this Liaison Group, advocating for North Pacific priorities and sharing insights from the NPO’s experience. The NPO can help provide on-the-ground information (for instance, success stories or bottlenecks faced in North Pacific projects) to inform the discussions of this group. In turn, any opportunities or guidance emerging from the Liaison Group will be communicated to North Pacific governments via the NPO.</w:t>
      </w:r>
    </w:p>
    <w:p w14:paraId="1849677A" w14:textId="0C29110A" w:rsidR="00C40F2A" w:rsidRPr="00C40F2A" w:rsidRDefault="00E83F3E" w:rsidP="00F16FEF">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lastRenderedPageBreak/>
        <w:t>Generally</w:t>
      </w:r>
      <w:r w:rsidR="00C40F2A" w:rsidRPr="00C40F2A">
        <w:rPr>
          <w:rFonts w:ascii="Times New Roman" w:eastAsia="Times New Roman" w:hAnsi="Times New Roman" w:cs="Times New Roman"/>
          <w:kern w:val="0"/>
          <w:lang w:eastAsia="en-AU"/>
          <w14:ligatures w14:val="none"/>
        </w:rPr>
        <w:t>, SPREP recognizes that as these regional coordination mechanisms become operational, the North Pacific Engagement Strategy will need to be responsive and update its approaches accordingly. The NPO will remain flexible and ready to incorporate new tools, reporting requirements, or collaboration platforms that arise from the PIFS-led strategy. By plugging into the regional architecture, SPREP ensures that North Pacific members benefit from wider Pacific initiatives (such as pooled technical assistance or shared knowledge products) and that their voices are heard in regional climate finance dialogues.</w:t>
      </w:r>
    </w:p>
    <w:p w14:paraId="531366DF" w14:textId="77777777" w:rsidR="00C40F2A" w:rsidRDefault="00C40F2A" w:rsidP="00F16FEF">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Through these partnerships and coordination efforts – from the local Micronesia level up to the broader Pacific region – the SPREP North Pacific Office will act as a conduit, bringing global and regional support to the doorstep of North Pacific countries while also elevating local priorities to the attention of international partners. Collaboration is a linchpin of this strategy: no single organization can meet the climate finance needs of the North Pacific alone, but together with governments, regional bodies, donors, and communities, substantial progress can be achieved.</w:t>
      </w:r>
    </w:p>
    <w:p w14:paraId="25524A57" w14:textId="4C43536A" w:rsidR="00C40F2A" w:rsidRPr="00C40F2A" w:rsidRDefault="00C40F2A" w:rsidP="00C40F2A">
      <w:p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Pr>
          <w:rFonts w:ascii="Times New Roman" w:eastAsia="Times New Roman" w:hAnsi="Times New Roman" w:cs="Times New Roman"/>
          <w:noProof/>
          <w:kern w:val="0"/>
          <w:lang w:eastAsia="en-AU"/>
          <w14:ligatures w14:val="none"/>
        </w:rPr>
        <w:drawing>
          <wp:inline distT="0" distB="0" distL="0" distR="0" wp14:anchorId="4DE3E7C4" wp14:editId="04A56174">
            <wp:extent cx="5731510" cy="1816752"/>
            <wp:effectExtent l="0" t="0" r="2540" b="0"/>
            <wp:docPr id="562326437" name="Picture 2"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26437" name="Picture 2" descr="A diagram of a diagram&#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816752"/>
                    </a:xfrm>
                    <a:prstGeom prst="rect">
                      <a:avLst/>
                    </a:prstGeom>
                    <a:noFill/>
                  </pic:spPr>
                </pic:pic>
              </a:graphicData>
            </a:graphic>
          </wp:inline>
        </w:drawing>
      </w:r>
    </w:p>
    <w:p w14:paraId="2A5E51A7" w14:textId="5C3AAD57" w:rsidR="00C40F2A" w:rsidRPr="00C40F2A" w:rsidRDefault="00C40F2A" w:rsidP="00C40F2A">
      <w:p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i/>
          <w:iCs/>
          <w:kern w:val="0"/>
          <w:lang w:eastAsia="en-AU"/>
          <w14:ligatures w14:val="none"/>
        </w:rPr>
        <w:t xml:space="preserve">Figure </w:t>
      </w:r>
      <w:r w:rsidR="00A17B7C">
        <w:rPr>
          <w:rFonts w:ascii="Times New Roman" w:eastAsia="Times New Roman" w:hAnsi="Times New Roman" w:cs="Times New Roman"/>
          <w:i/>
          <w:iCs/>
          <w:kern w:val="0"/>
          <w:lang w:eastAsia="en-AU"/>
          <w14:ligatures w14:val="none"/>
        </w:rPr>
        <w:t>2</w:t>
      </w:r>
      <w:r w:rsidRPr="00C40F2A">
        <w:rPr>
          <w:rFonts w:ascii="Times New Roman" w:eastAsia="Times New Roman" w:hAnsi="Times New Roman" w:cs="Times New Roman"/>
          <w:i/>
          <w:iCs/>
          <w:kern w:val="0"/>
          <w:lang w:eastAsia="en-AU"/>
          <w14:ligatures w14:val="none"/>
        </w:rPr>
        <w:t>: NPO’s network of stakeholders and partners in the North Pacific</w:t>
      </w:r>
    </w:p>
    <w:p w14:paraId="7F6F48EF" w14:textId="77777777" w:rsidR="00C40F2A" w:rsidRPr="000761F4" w:rsidRDefault="00C40F2A" w:rsidP="00F16FEF">
      <w:pPr>
        <w:pStyle w:val="ListParagraph"/>
        <w:numPr>
          <w:ilvl w:val="1"/>
          <w:numId w:val="12"/>
        </w:numPr>
        <w:spacing w:before="100" w:beforeAutospacing="1" w:after="120" w:line="360" w:lineRule="auto"/>
        <w:ind w:hanging="612"/>
        <w:jc w:val="both"/>
        <w:outlineLvl w:val="2"/>
        <w:rPr>
          <w:rFonts w:ascii="Times New Roman" w:eastAsia="Times New Roman" w:hAnsi="Times New Roman" w:cs="Times New Roman"/>
          <w:kern w:val="0"/>
          <w:lang w:eastAsia="en-AU"/>
          <w14:ligatures w14:val="none"/>
        </w:rPr>
      </w:pPr>
      <w:bookmarkStart w:id="10" w:name="_Toc198652242"/>
      <w:r w:rsidRPr="000761F4">
        <w:rPr>
          <w:rFonts w:ascii="Times New Roman" w:eastAsia="Times New Roman" w:hAnsi="Times New Roman" w:cs="Times New Roman"/>
          <w:kern w:val="0"/>
          <w:lang w:eastAsia="en-AU"/>
          <w14:ligatures w14:val="none"/>
        </w:rPr>
        <w:t>Capacity Building and Human Capital Development</w:t>
      </w:r>
      <w:bookmarkEnd w:id="10"/>
    </w:p>
    <w:p w14:paraId="6B4DEDC9" w14:textId="77777777" w:rsidR="00C40F2A" w:rsidRPr="00C40F2A" w:rsidRDefault="00C40F2A" w:rsidP="00F16FEF">
      <w:pPr>
        <w:spacing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Building the long-term capacity of North Pacific countries to access, manage, and effectively use climate finance is a central pillar of this engagement strategy. Across the Pacific, and particularly in the North Pacific, capacity and training needs remain extensive. Documents such as the PIFS Climate Finance Strategy 2024–2030, GCF Country Programme briefs, and the Pacific Climate Change Roundtable’s climate finance assessments all highlight gaps in areas including project proposal writing, financial management and reporting, environmental safeguards, monitoring and evaluation, and negotiation skills for international forums. In North Pacific countries, limited pools of technical experts and high turnover in government agencies often exacerbate these challenges. Additionally, many development partners and international agencies are already delivering various training programs in the region, which means the landscape of capacity support is crowded and sometimes fragmented.</w:t>
      </w:r>
    </w:p>
    <w:p w14:paraId="27A826B1" w14:textId="77777777" w:rsidR="00C40F2A" w:rsidRPr="00C40F2A" w:rsidRDefault="00C40F2A" w:rsidP="002C25A6">
      <w:pPr>
        <w:spacing w:before="100" w:beforeAutospacing="1" w:after="12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lastRenderedPageBreak/>
        <w:t>Rather than try to prescribe a fixed, multi-year training program in this strategy (which could quickly become outdated as personnel and circumstances change), SPREP will take a flexible, needs-based approach to capacity building through the CTSPF and project development process. Concretely, this means:</w:t>
      </w:r>
    </w:p>
    <w:p w14:paraId="78E112B7" w14:textId="77777777" w:rsidR="00C40F2A" w:rsidRPr="00C40F2A" w:rsidRDefault="00C40F2A" w:rsidP="002C25A6">
      <w:pPr>
        <w:numPr>
          <w:ilvl w:val="0"/>
          <w:numId w:val="7"/>
        </w:numPr>
        <w:spacing w:after="120" w:line="340" w:lineRule="exact"/>
        <w:ind w:left="714" w:hanging="357"/>
        <w:jc w:val="both"/>
        <w:rPr>
          <w:rFonts w:ascii="Times New Roman" w:eastAsia="Times New Roman" w:hAnsi="Times New Roman" w:cs="Times New Roman"/>
          <w:kern w:val="0"/>
          <w:lang w:eastAsia="en-AU"/>
          <w14:ligatures w14:val="none"/>
        </w:rPr>
      </w:pPr>
      <w:r w:rsidRPr="00E83F3E">
        <w:rPr>
          <w:rFonts w:ascii="Times New Roman" w:eastAsia="Times New Roman" w:hAnsi="Times New Roman" w:cs="Times New Roman"/>
          <w:i/>
          <w:iCs/>
          <w:kern w:val="0"/>
          <w:lang w:eastAsia="en-AU"/>
          <w14:ligatures w14:val="none"/>
        </w:rPr>
        <w:t>Integrating Capacity Needs in National Plans:</w:t>
      </w:r>
      <w:r w:rsidRPr="00C40F2A">
        <w:rPr>
          <w:rFonts w:ascii="Times New Roman" w:eastAsia="Times New Roman" w:hAnsi="Times New Roman" w:cs="Times New Roman"/>
          <w:kern w:val="0"/>
          <w:lang w:eastAsia="en-AU"/>
          <w14:ligatures w14:val="none"/>
        </w:rPr>
        <w:t xml:space="preserve"> Through the CTSPF consultations, country and territory priority capacity gaps will be identified and documented. For example, if a country indicates it needs training for its climate finance focal point on GCF proposal requirements, or improved capacity for its Ministry of Finance on climate fund fiduciary standards, those needs will be recorded as action items. The NPO, with support from CCR and partners, will then seek to address those items either by providing the training directly or by mobilizing a partner to do so.</w:t>
      </w:r>
    </w:p>
    <w:p w14:paraId="6D97DC15" w14:textId="77777777" w:rsidR="00C40F2A" w:rsidRPr="00C40F2A" w:rsidRDefault="00C40F2A" w:rsidP="002C25A6">
      <w:pPr>
        <w:numPr>
          <w:ilvl w:val="0"/>
          <w:numId w:val="7"/>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E83F3E">
        <w:rPr>
          <w:rFonts w:ascii="Times New Roman" w:eastAsia="Times New Roman" w:hAnsi="Times New Roman" w:cs="Times New Roman"/>
          <w:i/>
          <w:iCs/>
          <w:kern w:val="0"/>
          <w:lang w:eastAsia="en-AU"/>
          <w14:ligatures w14:val="none"/>
        </w:rPr>
        <w:t>Developing Dedicated Capacity Support Projects:</w:t>
      </w:r>
      <w:r w:rsidRPr="00C40F2A">
        <w:rPr>
          <w:rFonts w:ascii="Times New Roman" w:eastAsia="Times New Roman" w:hAnsi="Times New Roman" w:cs="Times New Roman"/>
          <w:kern w:val="0"/>
          <w:lang w:eastAsia="en-AU"/>
          <w14:ligatures w14:val="none"/>
        </w:rPr>
        <w:t xml:space="preserve"> Where appropriate, SPREP will help design standalone capacity-building projects (funded through readiness grants or bilateral support). These could be multi-country (e.g. a joint training program for several North Pacific nations on climate finance monitoring and evaluation) or country-specific (e.g. an embedded advisor in a particular ministry for a year). By using discrete projects to deliver capacity building, we can secure funding for those efforts and tailor the scope to what is </w:t>
      </w:r>
      <w:proofErr w:type="gramStart"/>
      <w:r w:rsidRPr="00C40F2A">
        <w:rPr>
          <w:rFonts w:ascii="Times New Roman" w:eastAsia="Times New Roman" w:hAnsi="Times New Roman" w:cs="Times New Roman"/>
          <w:kern w:val="0"/>
          <w:lang w:eastAsia="en-AU"/>
          <w14:ligatures w14:val="none"/>
        </w:rPr>
        <w:t>actually needed</w:t>
      </w:r>
      <w:proofErr w:type="gramEnd"/>
      <w:r w:rsidRPr="00C40F2A">
        <w:rPr>
          <w:rFonts w:ascii="Times New Roman" w:eastAsia="Times New Roman" w:hAnsi="Times New Roman" w:cs="Times New Roman"/>
          <w:kern w:val="0"/>
          <w:lang w:eastAsia="en-AU"/>
          <w14:ligatures w14:val="none"/>
        </w:rPr>
        <w:t>, rather than relying only on ad-hoc workshops.</w:t>
      </w:r>
    </w:p>
    <w:p w14:paraId="75E2F727" w14:textId="77777777" w:rsidR="00C40F2A" w:rsidRPr="00C40F2A" w:rsidRDefault="00C40F2A" w:rsidP="002C25A6">
      <w:pPr>
        <w:numPr>
          <w:ilvl w:val="0"/>
          <w:numId w:val="7"/>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E83F3E">
        <w:rPr>
          <w:rFonts w:ascii="Times New Roman" w:eastAsia="Times New Roman" w:hAnsi="Times New Roman" w:cs="Times New Roman"/>
          <w:i/>
          <w:iCs/>
          <w:kern w:val="0"/>
          <w:lang w:eastAsia="en-AU"/>
          <w14:ligatures w14:val="none"/>
        </w:rPr>
        <w:t>On-the-Job Training and Mentoring:</w:t>
      </w:r>
      <w:r w:rsidRPr="00C40F2A">
        <w:rPr>
          <w:rFonts w:ascii="Times New Roman" w:eastAsia="Times New Roman" w:hAnsi="Times New Roman" w:cs="Times New Roman"/>
          <w:kern w:val="0"/>
          <w:lang w:eastAsia="en-AU"/>
          <w14:ligatures w14:val="none"/>
        </w:rPr>
        <w:t xml:space="preserve"> A significant portion of capacity building will happen organically through the projects that are implemented. SPREP will emphasize approaches that allow local officers to learn by doing. For instance, when a SPREP team is formulating a project, they might conduct a hands-on proposal-writing session with national counterparts rather than simply writing it externally. During project execution, NPO staff can mentor government project managers in tasks like progress reporting or procurement following donor rules. Over time, this practical exposure builds the confidence and skills of local staff.</w:t>
      </w:r>
    </w:p>
    <w:p w14:paraId="1F30982B" w14:textId="77777777" w:rsidR="00C40F2A" w:rsidRPr="00C40F2A" w:rsidRDefault="00C40F2A" w:rsidP="002C25A6">
      <w:pPr>
        <w:numPr>
          <w:ilvl w:val="0"/>
          <w:numId w:val="7"/>
        </w:numPr>
        <w:spacing w:before="100" w:beforeAutospacing="1" w:after="240" w:line="340" w:lineRule="exact"/>
        <w:ind w:left="714" w:hanging="357"/>
        <w:jc w:val="both"/>
        <w:rPr>
          <w:rFonts w:ascii="Times New Roman" w:eastAsia="Times New Roman" w:hAnsi="Times New Roman" w:cs="Times New Roman"/>
          <w:kern w:val="0"/>
          <w:lang w:eastAsia="en-AU"/>
          <w14:ligatures w14:val="none"/>
        </w:rPr>
      </w:pPr>
      <w:r w:rsidRPr="00E83F3E">
        <w:rPr>
          <w:rFonts w:ascii="Times New Roman" w:eastAsia="Times New Roman" w:hAnsi="Times New Roman" w:cs="Times New Roman"/>
          <w:i/>
          <w:iCs/>
          <w:kern w:val="0"/>
          <w:lang w:eastAsia="en-AU"/>
          <w14:ligatures w14:val="none"/>
        </w:rPr>
        <w:t>Focus on Key Areas Identified by Members:</w:t>
      </w:r>
      <w:r w:rsidRPr="00C40F2A">
        <w:rPr>
          <w:rFonts w:ascii="Times New Roman" w:eastAsia="Times New Roman" w:hAnsi="Times New Roman" w:cs="Times New Roman"/>
          <w:kern w:val="0"/>
          <w:lang w:eastAsia="en-AU"/>
          <w14:ligatures w14:val="none"/>
        </w:rPr>
        <w:t xml:space="preserve"> The strategy will be attentive to specific capacity priorities that North Pacific members have highlighted. From the CTSPF examples above, we know that countries have interest in areas such as climate change resilience training (general climate science and adaptation knowledge), monitoring &amp; evaluation systems, and effective participation in international negotiations (like improving preparation for UNFCCC COPs). These will be focal topics for capacity support. For instance, SPREP could organize pre-COP briefing workshops for North Pacific delegates or assist a country in establishing a national climate finance dashboard to track projects (addressing M&amp;E needs).</w:t>
      </w:r>
    </w:p>
    <w:p w14:paraId="264A6CFC" w14:textId="77777777" w:rsidR="00C40F2A" w:rsidRPr="00C40F2A" w:rsidRDefault="00C40F2A" w:rsidP="002C25A6">
      <w:pPr>
        <w:spacing w:after="12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Importantly, SPREP will coordinate closely with other providers of capacity building to avoid duplication. Many North Pacific countries receive support from the likes of USAID (e.g. the Climate Ready project in the past), GIZ, UNDP, and others for capacity building. The NPO </w:t>
      </w:r>
      <w:r w:rsidRPr="00C40F2A">
        <w:rPr>
          <w:rFonts w:ascii="Times New Roman" w:eastAsia="Times New Roman" w:hAnsi="Times New Roman" w:cs="Times New Roman"/>
          <w:kern w:val="0"/>
          <w:lang w:eastAsia="en-AU"/>
          <w14:ligatures w14:val="none"/>
        </w:rPr>
        <w:lastRenderedPageBreak/>
        <w:t>will maintain an inventory of recent and ongoing training activities in each country. If a need is already being met by another program, SPREP will complement rather than replicate.</w:t>
      </w:r>
    </w:p>
    <w:p w14:paraId="1043BE57" w14:textId="77777777" w:rsidR="00C40F2A" w:rsidRDefault="00C40F2A" w:rsidP="002C25A6">
      <w:pPr>
        <w:spacing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By embedding capacity building into every aspect of the engagement (planning, project design, implementation), this strategy ensures that North Pacific countries not only access more climate finance but also build the skills and systems to manage climate finance effectively on their own. In the long run, success will be measured by a reduced dependence on external technical assistance – for example, a North Pacific country developing a GCF proposal with minimal outside </w:t>
      </w:r>
      <w:proofErr w:type="gramStart"/>
      <w:r w:rsidRPr="00C40F2A">
        <w:rPr>
          <w:rFonts w:ascii="Times New Roman" w:eastAsia="Times New Roman" w:hAnsi="Times New Roman" w:cs="Times New Roman"/>
          <w:kern w:val="0"/>
          <w:lang w:eastAsia="en-AU"/>
          <w14:ligatures w14:val="none"/>
        </w:rPr>
        <w:t>help, or</w:t>
      </w:r>
      <w:proofErr w:type="gramEnd"/>
      <w:r w:rsidRPr="00C40F2A">
        <w:rPr>
          <w:rFonts w:ascii="Times New Roman" w:eastAsia="Times New Roman" w:hAnsi="Times New Roman" w:cs="Times New Roman"/>
          <w:kern w:val="0"/>
          <w:lang w:eastAsia="en-AU"/>
          <w14:ligatures w14:val="none"/>
        </w:rPr>
        <w:t xml:space="preserve"> efficiently executing a multimillion-dollar project to international standards. Achieving that will take time, but this strategy lays the groundwork through consistent, targeted capacity development efforts.</w:t>
      </w:r>
    </w:p>
    <w:p w14:paraId="09F105B6" w14:textId="6073AF49" w:rsidR="00C40F2A" w:rsidRPr="00C40F2A" w:rsidRDefault="00C40F2A" w:rsidP="002C25A6">
      <w:pPr>
        <w:spacing w:before="100" w:beforeAutospacing="1" w:after="0" w:line="360" w:lineRule="auto"/>
        <w:jc w:val="both"/>
        <w:rPr>
          <w:rFonts w:ascii="Times New Roman" w:eastAsia="Times New Roman" w:hAnsi="Times New Roman" w:cs="Times New Roman"/>
          <w:kern w:val="0"/>
          <w:lang w:eastAsia="en-AU"/>
          <w14:ligatures w14:val="none"/>
        </w:rPr>
      </w:pPr>
      <w:r>
        <w:rPr>
          <w:rFonts w:ascii="Times New Roman" w:eastAsia="Times New Roman" w:hAnsi="Times New Roman" w:cs="Times New Roman"/>
          <w:noProof/>
          <w:kern w:val="0"/>
          <w:lang w:eastAsia="en-AU"/>
          <w14:ligatures w14:val="none"/>
        </w:rPr>
        <w:drawing>
          <wp:inline distT="0" distB="0" distL="0" distR="0" wp14:anchorId="51186BBE" wp14:editId="43AED038">
            <wp:extent cx="5731510" cy="1213912"/>
            <wp:effectExtent l="0" t="0" r="2540" b="5715"/>
            <wp:docPr id="1141063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213912"/>
                    </a:xfrm>
                    <a:prstGeom prst="rect">
                      <a:avLst/>
                    </a:prstGeom>
                    <a:noFill/>
                  </pic:spPr>
                </pic:pic>
              </a:graphicData>
            </a:graphic>
          </wp:inline>
        </w:drawing>
      </w:r>
    </w:p>
    <w:p w14:paraId="11E9CB54" w14:textId="1D5DAC6B" w:rsidR="00C40F2A" w:rsidRPr="00C40F2A" w:rsidRDefault="00C40F2A" w:rsidP="002C25A6">
      <w:pPr>
        <w:spacing w:after="12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i/>
          <w:iCs/>
          <w:kern w:val="0"/>
          <w:lang w:eastAsia="en-AU"/>
          <w14:ligatures w14:val="none"/>
        </w:rPr>
        <w:t xml:space="preserve">Figure </w:t>
      </w:r>
      <w:r w:rsidR="00A17B7C">
        <w:rPr>
          <w:rFonts w:ascii="Times New Roman" w:eastAsia="Times New Roman" w:hAnsi="Times New Roman" w:cs="Times New Roman"/>
          <w:i/>
          <w:iCs/>
          <w:kern w:val="0"/>
          <w:lang w:eastAsia="en-AU"/>
          <w14:ligatures w14:val="none"/>
        </w:rPr>
        <w:t>3</w:t>
      </w:r>
      <w:r w:rsidRPr="00C40F2A">
        <w:rPr>
          <w:rFonts w:ascii="Times New Roman" w:eastAsia="Times New Roman" w:hAnsi="Times New Roman" w:cs="Times New Roman"/>
          <w:i/>
          <w:iCs/>
          <w:kern w:val="0"/>
          <w:lang w:eastAsia="en-AU"/>
          <w14:ligatures w14:val="none"/>
        </w:rPr>
        <w:t>: Cycle of capacity building needs identification, support delivery, and feedback</w:t>
      </w:r>
      <w:r w:rsidR="00CF0197">
        <w:rPr>
          <w:rFonts w:ascii="Times New Roman" w:eastAsia="Times New Roman" w:hAnsi="Times New Roman" w:cs="Times New Roman"/>
          <w:i/>
          <w:iCs/>
          <w:kern w:val="0"/>
          <w:lang w:eastAsia="en-AU"/>
          <w14:ligatures w14:val="none"/>
        </w:rPr>
        <w:t>. Note that capacity needs could potentially be identified through other processes, not just CTSPF.</w:t>
      </w:r>
    </w:p>
    <w:p w14:paraId="512A0013" w14:textId="77777777" w:rsidR="00C40F2A" w:rsidRPr="000761F4" w:rsidRDefault="00C40F2A" w:rsidP="002C25A6">
      <w:pPr>
        <w:pStyle w:val="ListParagraph"/>
        <w:numPr>
          <w:ilvl w:val="1"/>
          <w:numId w:val="12"/>
        </w:numPr>
        <w:spacing w:before="100" w:beforeAutospacing="1" w:after="120" w:line="360" w:lineRule="auto"/>
        <w:ind w:hanging="612"/>
        <w:jc w:val="both"/>
        <w:outlineLvl w:val="2"/>
        <w:rPr>
          <w:rFonts w:ascii="Times New Roman" w:eastAsia="Times New Roman" w:hAnsi="Times New Roman" w:cs="Times New Roman"/>
          <w:kern w:val="0"/>
          <w:lang w:eastAsia="en-AU"/>
          <w14:ligatures w14:val="none"/>
        </w:rPr>
      </w:pPr>
      <w:bookmarkStart w:id="11" w:name="_Toc198652243"/>
      <w:r w:rsidRPr="000761F4">
        <w:rPr>
          <w:rFonts w:ascii="Times New Roman" w:eastAsia="Times New Roman" w:hAnsi="Times New Roman" w:cs="Times New Roman"/>
          <w:kern w:val="0"/>
          <w:lang w:eastAsia="en-AU"/>
          <w14:ligatures w14:val="none"/>
        </w:rPr>
        <w:t>Funding Opportunities and Resource Mobilization</w:t>
      </w:r>
      <w:bookmarkEnd w:id="11"/>
    </w:p>
    <w:p w14:paraId="5351B956" w14:textId="77777777" w:rsidR="00C40F2A" w:rsidRDefault="00C40F2A" w:rsidP="002C25A6">
      <w:pPr>
        <w:spacing w:after="12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A critical part of the Climate Finance Engagement Strategy is to identify and leverage funding opportunities for North Pacific priorities. Accessing climate finance is inherently about matching the right resources to the right needs. In the coming years, the NPO in collaboration with SPREP and partners will pursue funding from a mix of multilateral climate funds, bilateral donors, and innovative financing mechanisms, as well as strengthen relationships with key development partners.</w:t>
      </w:r>
    </w:p>
    <w:p w14:paraId="7CF05152" w14:textId="4C81C4EB" w:rsidR="00C40F2A" w:rsidRDefault="00C40F2A" w:rsidP="002C25A6">
      <w:pPr>
        <w:spacing w:after="0" w:line="360" w:lineRule="auto"/>
        <w:jc w:val="center"/>
        <w:rPr>
          <w:rFonts w:ascii="Times New Roman" w:eastAsia="Times New Roman" w:hAnsi="Times New Roman" w:cs="Times New Roman"/>
          <w:kern w:val="0"/>
          <w:lang w:eastAsia="en-AU"/>
          <w14:ligatures w14:val="none"/>
        </w:rPr>
      </w:pPr>
      <w:r>
        <w:rPr>
          <w:rFonts w:ascii="Times New Roman" w:eastAsia="Times New Roman" w:hAnsi="Times New Roman" w:cs="Times New Roman"/>
          <w:noProof/>
          <w:kern w:val="0"/>
          <w:lang w:eastAsia="en-AU"/>
          <w14:ligatures w14:val="none"/>
        </w:rPr>
        <w:drawing>
          <wp:inline distT="0" distB="0" distL="0" distR="0" wp14:anchorId="296C4211" wp14:editId="04FD117A">
            <wp:extent cx="3230880" cy="2452847"/>
            <wp:effectExtent l="0" t="0" r="7620" b="5080"/>
            <wp:docPr id="1803865386" name="Picture 3"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65386" name="Picture 3" descr="A diagram of a projec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9100" cy="2459087"/>
                    </a:xfrm>
                    <a:prstGeom prst="rect">
                      <a:avLst/>
                    </a:prstGeom>
                    <a:noFill/>
                  </pic:spPr>
                </pic:pic>
              </a:graphicData>
            </a:graphic>
          </wp:inline>
        </w:drawing>
      </w:r>
    </w:p>
    <w:p w14:paraId="013FE952" w14:textId="2C09B229" w:rsidR="00C40F2A" w:rsidRPr="00C40F2A" w:rsidRDefault="00C40F2A" w:rsidP="002C25A6">
      <w:pPr>
        <w:tabs>
          <w:tab w:val="left" w:pos="1932"/>
        </w:tabs>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i/>
          <w:iCs/>
          <w:kern w:val="0"/>
          <w:lang w:eastAsia="en-AU"/>
          <w14:ligatures w14:val="none"/>
        </w:rPr>
        <w:t xml:space="preserve">Figure </w:t>
      </w:r>
      <w:r w:rsidR="00A17B7C">
        <w:rPr>
          <w:rFonts w:ascii="Times New Roman" w:eastAsia="Times New Roman" w:hAnsi="Times New Roman" w:cs="Times New Roman"/>
          <w:i/>
          <w:iCs/>
          <w:kern w:val="0"/>
          <w:lang w:eastAsia="en-AU"/>
          <w14:ligatures w14:val="none"/>
        </w:rPr>
        <w:t>4</w:t>
      </w:r>
      <w:r w:rsidRPr="00C40F2A">
        <w:rPr>
          <w:rFonts w:ascii="Times New Roman" w:eastAsia="Times New Roman" w:hAnsi="Times New Roman" w:cs="Times New Roman"/>
          <w:i/>
          <w:iCs/>
          <w:kern w:val="0"/>
          <w:lang w:eastAsia="en-AU"/>
          <w14:ligatures w14:val="none"/>
        </w:rPr>
        <w:t>: Flows of climate finance from various sources into SPREP-implemented and member-implemented projects</w:t>
      </w:r>
    </w:p>
    <w:p w14:paraId="0BE6906F" w14:textId="77777777" w:rsidR="00C40F2A" w:rsidRPr="00C40F2A" w:rsidRDefault="00C40F2A" w:rsidP="002C25A6">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lastRenderedPageBreak/>
        <w:t>Annex 2 provides a list of major climate finance donors and development partners relevant to the North Pacific. Here we summarize the landscape and how SPREP will engage:</w:t>
      </w:r>
    </w:p>
    <w:p w14:paraId="5CCEC001" w14:textId="77777777" w:rsidR="00AC23E5" w:rsidRPr="00AC23E5" w:rsidRDefault="00C40F2A" w:rsidP="002C25A6">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AC23E5">
        <w:rPr>
          <w:rFonts w:ascii="Times New Roman" w:eastAsia="Times New Roman" w:hAnsi="Times New Roman" w:cs="Times New Roman"/>
          <w:kern w:val="0"/>
          <w:lang w:eastAsia="en-AU"/>
          <w14:ligatures w14:val="none"/>
        </w:rPr>
        <w:t>Multilateral Climate Funds</w:t>
      </w:r>
    </w:p>
    <w:p w14:paraId="273FBB28" w14:textId="420BE14B" w:rsidR="00C40F2A" w:rsidRPr="00C40F2A" w:rsidRDefault="00C40F2A" w:rsidP="002C25A6">
      <w:pPr>
        <w:spacing w:after="24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 The Green Climate Fund (GCF), Adaptation Fund (AF), and Global Environment Facility (GEF) are primary sources of dedicated climate change financing for the Pacific. All North Pacific countries are eligible for these funds, but preparing successful proposals and meeting fund requirements can be challenging. As an accredited entity to the GCF and AF, SPREP will actively develop project proposals on behalf of North Pacific members (as detailed earlier) focusing on sub-regional or multi-country initiatives that align with these funds’ strategic priorities. SPREP will also support countries in direct access efforts – for instance, if a country is pursuing its own national accreditation or has a national entity accredited, SPREP can provide mentorship or serve as a delivery partner. For the GEF (where SPREP is not an implementing agency but can execute projects in partnership with agencies like UNDP or FAO), SPREP will coordinate with the relevant GEF agencies to inject technical inputs into GEF projects in the North Pacific. Additionally, SPREP will keep North Pacific members informed about readiness grants and preparatory support that GCF and others offer, helping them to prepare and apply for those smaller but crucial funding opportunities that build capacity for larger projects.</w:t>
      </w:r>
    </w:p>
    <w:p w14:paraId="19F94BCE" w14:textId="77777777" w:rsidR="00AC23E5" w:rsidRPr="00AC23E5" w:rsidRDefault="00C40F2A" w:rsidP="002C25A6">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AC23E5">
        <w:rPr>
          <w:rFonts w:ascii="Times New Roman" w:eastAsia="Times New Roman" w:hAnsi="Times New Roman" w:cs="Times New Roman"/>
          <w:kern w:val="0"/>
          <w:lang w:eastAsia="en-AU"/>
          <w14:ligatures w14:val="none"/>
        </w:rPr>
        <w:t>Bilateral and Partner Funding</w:t>
      </w:r>
    </w:p>
    <w:p w14:paraId="52FBC1CA" w14:textId="2FEAAC45" w:rsidR="00C40F2A" w:rsidRPr="00C40F2A" w:rsidRDefault="00C40F2A" w:rsidP="002C25A6">
      <w:pPr>
        <w:spacing w:after="36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Many bilateral donors are prioritizing climate change in the Pacific and specifically in Micronesia. Key partners include the United States Government (particularly for the Freely Associated States – Palau, RMI, FSM – which historically received some climate/environment assistance under the Compacts of Free Association, as well as support to Guam and CNMI). However, as of 2025 the U.S. Government is </w:t>
      </w:r>
      <w:r w:rsidR="00DC329B">
        <w:rPr>
          <w:rFonts w:ascii="Times New Roman" w:eastAsia="Times New Roman" w:hAnsi="Times New Roman" w:cs="Times New Roman"/>
          <w:kern w:val="0"/>
          <w:lang w:eastAsia="en-AU"/>
          <w14:ligatures w14:val="none"/>
        </w:rPr>
        <w:t>limiting</w:t>
      </w:r>
      <w:r w:rsidRPr="00C40F2A">
        <w:rPr>
          <w:rFonts w:ascii="Times New Roman" w:eastAsia="Times New Roman" w:hAnsi="Times New Roman" w:cs="Times New Roman"/>
          <w:kern w:val="0"/>
          <w:lang w:eastAsia="en-AU"/>
          <w14:ligatures w14:val="none"/>
        </w:rPr>
        <w:t xml:space="preserve"> dedicated climate finance support to the North Pacific. Other major partners include USAID programs (which previously extended support to Kiribati and Nauru in climate adaptation and governance), Australia (which has increasing climate aid in Nauru, Kiribati, and the North Pacific, including through its regional programmes), New Zealand (supporting renewable energy and capacity building especially in Kiribati and Nauru), Japan (through JICA and other channels, funding infrastructure and climate resilience projects in the region), Taiwan (which has bilateral projects with some countries like Palau and Nauru), and the European Union (which sometimes funds regional programs that include North Pacific components, such as the GCCA+ initiatives). SPREP’s strategy is to engage these donors by aligning North Pacific project ideas with donor interest areas. For example, if Japan has a programme on waste management in the Pacific, SPREP might propose a collaboration to include a pilot in the North Pacific. The NPO will maintain dialogue with donor representatives (embassies, aid agencies) to stay aware of funding calls or bilateral allocation plans. Whenever feasible, SPREP will assist North Pacific governments in developing and pitching proposals to these donors. This might involve packaging a concept </w:t>
      </w:r>
      <w:r w:rsidRPr="00C40F2A">
        <w:rPr>
          <w:rFonts w:ascii="Times New Roman" w:eastAsia="Times New Roman" w:hAnsi="Times New Roman" w:cs="Times New Roman"/>
          <w:kern w:val="0"/>
          <w:lang w:eastAsia="en-AU"/>
          <w14:ligatures w14:val="none"/>
        </w:rPr>
        <w:lastRenderedPageBreak/>
        <w:t>note, facilitating meetings, or including North Pacific priorities in regional proposals that SPREP or others submit to donors.</w:t>
      </w:r>
    </w:p>
    <w:p w14:paraId="07E53184" w14:textId="77777777" w:rsidR="00AC23E5" w:rsidRPr="00AC23E5" w:rsidRDefault="00C40F2A" w:rsidP="002C25A6">
      <w:pPr>
        <w:pStyle w:val="ListParagraph"/>
        <w:numPr>
          <w:ilvl w:val="2"/>
          <w:numId w:val="12"/>
        </w:numPr>
        <w:spacing w:before="100" w:beforeAutospacing="1" w:after="120" w:line="360" w:lineRule="auto"/>
        <w:ind w:hanging="1044"/>
        <w:jc w:val="both"/>
        <w:outlineLvl w:val="2"/>
        <w:rPr>
          <w:rFonts w:ascii="Times New Roman" w:eastAsia="Times New Roman" w:hAnsi="Times New Roman" w:cs="Times New Roman"/>
          <w:kern w:val="0"/>
          <w:lang w:eastAsia="en-AU"/>
          <w14:ligatures w14:val="none"/>
        </w:rPr>
      </w:pPr>
      <w:r w:rsidRPr="00AC23E5">
        <w:rPr>
          <w:rFonts w:ascii="Times New Roman" w:eastAsia="Times New Roman" w:hAnsi="Times New Roman" w:cs="Times New Roman"/>
          <w:kern w:val="0"/>
          <w:lang w:eastAsia="en-AU"/>
          <w14:ligatures w14:val="none"/>
        </w:rPr>
        <w:t>Philanthropic and Innovative Finance</w:t>
      </w:r>
    </w:p>
    <w:p w14:paraId="1F4632D2" w14:textId="2F369C9E" w:rsidR="00C40F2A" w:rsidRPr="00C40F2A" w:rsidRDefault="00C40F2A" w:rsidP="002C25A6">
      <w:pPr>
        <w:spacing w:after="24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 In addition to traditional donors, there are growing philanthropic funds and private sector finance opportunities for climate and conservation in Micronesia. The Micronesia Challenge is one prominent example – a commitment by Micronesian countries to conserve biodiversity, which has an associated trust fund and attracts donor and philanthropic contributions. SPREP will support the Micronesia Challenge goals by aligning climate resilience projects (for instance, ecosystem-based adaptation) that could receive co-financing from the Challenge’s trust funds or partners. Organizations like The Nature Conservancy (TNC) often blend their own funds or philanthropy with public finance to advance conservation and climate adaptation projects; partnering with them can </w:t>
      </w:r>
      <w:r w:rsidR="00DC329B" w:rsidRPr="00C40F2A">
        <w:rPr>
          <w:rFonts w:ascii="Times New Roman" w:eastAsia="Times New Roman" w:hAnsi="Times New Roman" w:cs="Times New Roman"/>
          <w:kern w:val="0"/>
          <w:lang w:eastAsia="en-AU"/>
          <w14:ligatures w14:val="none"/>
        </w:rPr>
        <w:t>open</w:t>
      </w:r>
      <w:r w:rsidRPr="00C40F2A">
        <w:rPr>
          <w:rFonts w:ascii="Times New Roman" w:eastAsia="Times New Roman" w:hAnsi="Times New Roman" w:cs="Times New Roman"/>
          <w:kern w:val="0"/>
          <w:lang w:eastAsia="en-AU"/>
          <w14:ligatures w14:val="none"/>
        </w:rPr>
        <w:t xml:space="preserve"> additional resources. Similarly, SPREP will encourage exploration of innovative financing mechanisms such as blue bonds/green bonds, parametric insurance for climate risks, and carbon finance. While these are nascent in the Pacific, over the strategy period SPREP can help North Pacific members engage in pilot initiatives (for example, Palau’s interest in blue bonds or a regional parametric insurance scheme for climate-induced extreme events). Engaging in these novel mechanisms will be done in partnership with entities that have the technical expertise (such as the Pacific Catastrophe Risk Insurance Company for insurance, or development banks for issuing bonds). SPREP’s role is largely to ensure North Pacific perspectives and needs are </w:t>
      </w:r>
      <w:r w:rsidR="00DC329B" w:rsidRPr="00C40F2A">
        <w:rPr>
          <w:rFonts w:ascii="Times New Roman" w:eastAsia="Times New Roman" w:hAnsi="Times New Roman" w:cs="Times New Roman"/>
          <w:kern w:val="0"/>
          <w:lang w:eastAsia="en-AU"/>
          <w14:ligatures w14:val="none"/>
        </w:rPr>
        <w:t>considered</w:t>
      </w:r>
      <w:r w:rsidRPr="00C40F2A">
        <w:rPr>
          <w:rFonts w:ascii="Times New Roman" w:eastAsia="Times New Roman" w:hAnsi="Times New Roman" w:cs="Times New Roman"/>
          <w:kern w:val="0"/>
          <w:lang w:eastAsia="en-AU"/>
          <w14:ligatures w14:val="none"/>
        </w:rPr>
        <w:t xml:space="preserve"> in the design of such mechanisms and to help members understand and access them if they prove viable.</w:t>
      </w:r>
    </w:p>
    <w:p w14:paraId="1B59B6FB" w14:textId="77777777" w:rsidR="00A17B7C" w:rsidRDefault="00DC329B" w:rsidP="002C25A6">
      <w:pPr>
        <w:spacing w:after="240" w:line="340" w:lineRule="exact"/>
        <w:jc w:val="both"/>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In summary</w:t>
      </w:r>
      <w:r w:rsidR="00C40F2A" w:rsidRPr="00C40F2A">
        <w:rPr>
          <w:rFonts w:ascii="Times New Roman" w:eastAsia="Times New Roman" w:hAnsi="Times New Roman" w:cs="Times New Roman"/>
          <w:kern w:val="0"/>
          <w:lang w:eastAsia="en-AU"/>
          <w14:ligatures w14:val="none"/>
        </w:rPr>
        <w:t>, the SPREP North Pacific Office Climate Finance Engagement Strategy charts a course for enhanced collaboration, capacity building, and resource mobilization that will empower North Pacific countries and territories to access the climate finance they urgently need. Through implementing this strategy, SPREP and its partners will help ensure that the unique challenges of the North Pacific are addressed and that these countries are better equipped to build resilience against climate change. The following annexes provide additional details on how this strategy will be implemented and monitored, the partners involved, initial project ideas, and the governance arrangements steering the effort.</w:t>
      </w:r>
    </w:p>
    <w:p w14:paraId="5AE2EB10" w14:textId="77777777" w:rsidR="002C25A6" w:rsidRDefault="002C25A6" w:rsidP="002C25A6">
      <w:pPr>
        <w:spacing w:after="0" w:line="340" w:lineRule="exact"/>
        <w:jc w:val="both"/>
        <w:rPr>
          <w:rFonts w:ascii="Times New Roman" w:eastAsia="Times New Roman" w:hAnsi="Times New Roman" w:cs="Times New Roman"/>
          <w:kern w:val="0"/>
          <w:lang w:eastAsia="en-AU"/>
          <w14:ligatures w14:val="none"/>
        </w:rPr>
      </w:pPr>
    </w:p>
    <w:p w14:paraId="55E107E2" w14:textId="77777777" w:rsidR="002C25A6" w:rsidRPr="002C25A6" w:rsidRDefault="002C25A6" w:rsidP="002C25A6">
      <w:pPr>
        <w:pStyle w:val="ListParagraph"/>
        <w:numPr>
          <w:ilvl w:val="0"/>
          <w:numId w:val="12"/>
        </w:numPr>
        <w:spacing w:after="120" w:line="360" w:lineRule="auto"/>
        <w:jc w:val="both"/>
        <w:outlineLvl w:val="2"/>
        <w:rPr>
          <w:rFonts w:ascii="Times New Roman" w:eastAsia="Times New Roman" w:hAnsi="Times New Roman" w:cs="Times New Roman"/>
          <w:kern w:val="0"/>
          <w:sz w:val="32"/>
          <w:szCs w:val="32"/>
          <w:lang w:eastAsia="en-AU"/>
          <w14:ligatures w14:val="none"/>
        </w:rPr>
      </w:pPr>
      <w:r w:rsidRPr="002C25A6">
        <w:rPr>
          <w:rFonts w:ascii="Times New Roman" w:eastAsia="Times New Roman" w:hAnsi="Times New Roman" w:cs="Times New Roman"/>
          <w:kern w:val="0"/>
          <w:sz w:val="32"/>
          <w:szCs w:val="32"/>
          <w:lang w:eastAsia="en-AU"/>
          <w14:ligatures w14:val="none"/>
        </w:rPr>
        <w:t>Annexes</w:t>
      </w:r>
    </w:p>
    <w:p w14:paraId="34F857B2" w14:textId="77777777" w:rsidR="002C25A6" w:rsidRPr="000761F4" w:rsidRDefault="002C25A6" w:rsidP="002C25A6">
      <w:pPr>
        <w:spacing w:after="120" w:line="360" w:lineRule="auto"/>
        <w:jc w:val="both"/>
        <w:outlineLvl w:val="2"/>
        <w:rPr>
          <w:rFonts w:ascii="Times New Roman" w:eastAsia="Times New Roman" w:hAnsi="Times New Roman" w:cs="Times New Roman"/>
          <w:kern w:val="0"/>
          <w:sz w:val="27"/>
          <w:szCs w:val="27"/>
          <w:lang w:eastAsia="en-AU"/>
          <w14:ligatures w14:val="none"/>
        </w:rPr>
      </w:pPr>
      <w:r w:rsidRPr="000761F4">
        <w:rPr>
          <w:rFonts w:ascii="Times New Roman" w:eastAsia="Times New Roman" w:hAnsi="Times New Roman" w:cs="Times New Roman"/>
          <w:kern w:val="0"/>
          <w:sz w:val="27"/>
          <w:szCs w:val="27"/>
          <w:lang w:eastAsia="en-AU"/>
          <w14:ligatures w14:val="none"/>
        </w:rPr>
        <w:t>Annex 1 – Implementation and Monitoring Plan/Framework</w:t>
      </w:r>
    </w:p>
    <w:p w14:paraId="7A1F8544" w14:textId="77777777" w:rsidR="002C25A6" w:rsidRPr="00C40F2A" w:rsidRDefault="002C25A6" w:rsidP="002C25A6">
      <w:pPr>
        <w:spacing w:after="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 xml:space="preserve">At its simplest level, the success of this Engagement Strategy will be measured by whether it results in an increase in the number of climate finance projects and a growth in the total amount of climate finance funding that SPREP helps North Pacific members to obtain, compared to the baseline situation in 2024. Additionally, successful implementation of specific programmes </w:t>
      </w:r>
      <w:r w:rsidRPr="00C40F2A">
        <w:rPr>
          <w:rFonts w:ascii="Times New Roman" w:eastAsia="Times New Roman" w:hAnsi="Times New Roman" w:cs="Times New Roman"/>
          <w:kern w:val="0"/>
          <w:lang w:eastAsia="en-AU"/>
          <w14:ligatures w14:val="none"/>
        </w:rPr>
        <w:lastRenderedPageBreak/>
        <w:t>and projects that arise from the strategy will be tracked. Each project supported under the strategy will have its own monitoring and evaluation framework to assess how well its goals, objectives, outputs, and outcomes are achieved. These project-level M&amp;E systems will roll up into the overall assessment of the strategy’s impact.</w:t>
      </w:r>
    </w:p>
    <w:p w14:paraId="2016F572" w14:textId="77777777" w:rsidR="002C25A6" w:rsidRPr="002C25A6" w:rsidRDefault="002C25A6" w:rsidP="002C25A6">
      <w:pPr>
        <w:spacing w:after="0" w:line="240" w:lineRule="auto"/>
        <w:jc w:val="both"/>
        <w:rPr>
          <w:rFonts w:ascii="Times New Roman" w:eastAsia="Times New Roman" w:hAnsi="Times New Roman" w:cs="Times New Roman"/>
          <w:kern w:val="0"/>
          <w:sz w:val="16"/>
          <w:szCs w:val="16"/>
          <w:lang w:eastAsia="en-AU"/>
          <w14:ligatures w14:val="none"/>
        </w:rPr>
      </w:pPr>
    </w:p>
    <w:p w14:paraId="028A9366" w14:textId="01D97C36" w:rsidR="002C25A6" w:rsidRDefault="002C25A6" w:rsidP="002C25A6">
      <w:pPr>
        <w:spacing w:after="120" w:line="340" w:lineRule="exact"/>
        <w:jc w:val="both"/>
        <w:rPr>
          <w:rFonts w:ascii="Times New Roman" w:eastAsia="Times New Roman" w:hAnsi="Times New Roman" w:cs="Times New Roman"/>
          <w:kern w:val="0"/>
          <w:lang w:eastAsia="en-AU"/>
          <w14:ligatures w14:val="none"/>
        </w:rPr>
      </w:pPr>
      <w:r>
        <w:rPr>
          <w:rFonts w:ascii="Times New Roman" w:eastAsia="Times New Roman" w:hAnsi="Times New Roman" w:cs="Times New Roman"/>
          <w:noProof/>
          <w:kern w:val="0"/>
          <w:lang w:eastAsia="en-AU"/>
          <w14:ligatures w14:val="none"/>
        </w:rPr>
        <w:drawing>
          <wp:anchor distT="0" distB="0" distL="114300" distR="114300" simplePos="0" relativeHeight="251658240" behindDoc="1" locked="0" layoutInCell="1" allowOverlap="1" wp14:anchorId="49ADA6FF" wp14:editId="11FCEF27">
            <wp:simplePos x="0" y="0"/>
            <wp:positionH relativeFrom="column">
              <wp:posOffset>91440</wp:posOffset>
            </wp:positionH>
            <wp:positionV relativeFrom="paragraph">
              <wp:posOffset>1579880</wp:posOffset>
            </wp:positionV>
            <wp:extent cx="5730240" cy="685800"/>
            <wp:effectExtent l="0" t="0" r="3810" b="0"/>
            <wp:wrapNone/>
            <wp:docPr id="2048074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240" cy="685800"/>
                    </a:xfrm>
                    <a:prstGeom prst="rect">
                      <a:avLst/>
                    </a:prstGeom>
                    <a:noFill/>
                  </pic:spPr>
                </pic:pic>
              </a:graphicData>
            </a:graphic>
          </wp:anchor>
        </w:drawing>
      </w:r>
      <w:r w:rsidRPr="00C40F2A">
        <w:rPr>
          <w:rFonts w:ascii="Times New Roman" w:eastAsia="Times New Roman" w:hAnsi="Times New Roman" w:cs="Times New Roman"/>
          <w:kern w:val="0"/>
          <w:lang w:eastAsia="en-AU"/>
          <w14:ligatures w14:val="none"/>
        </w:rPr>
        <w:t>More detailed monitoring and evaluation indicators for the strategy (for example, targets for number of proposals developed per year, number of people trained, dollars mobilized, etc.) will be included in SPREP’s annual work plans and the North Pacific Office’s work programme. The NPO Manager will compile progress reports periodically, and the North Pacific Members’ Working Group can review progress at its meetings. The strategy may be adjusted based on lessons learned during implementation, ensuring it remains a living document responsive to changing circumstances.</w:t>
      </w:r>
    </w:p>
    <w:p w14:paraId="00F08D07" w14:textId="51AA0047" w:rsidR="002C25A6" w:rsidRDefault="002C25A6" w:rsidP="002C25A6">
      <w:pPr>
        <w:spacing w:after="100" w:afterAutospacing="1" w:line="340" w:lineRule="exact"/>
        <w:jc w:val="both"/>
        <w:rPr>
          <w:rFonts w:ascii="Times New Roman" w:eastAsia="Times New Roman" w:hAnsi="Times New Roman" w:cs="Times New Roman"/>
          <w:kern w:val="0"/>
          <w:lang w:eastAsia="en-AU"/>
          <w14:ligatures w14:val="none"/>
        </w:rPr>
      </w:pPr>
    </w:p>
    <w:p w14:paraId="56EB32FF" w14:textId="4F673A21" w:rsidR="002C25A6" w:rsidRDefault="002C25A6" w:rsidP="002C25A6">
      <w:pPr>
        <w:spacing w:after="100" w:afterAutospacing="1" w:line="340" w:lineRule="exact"/>
        <w:jc w:val="both"/>
        <w:rPr>
          <w:rFonts w:ascii="Times New Roman" w:eastAsia="Times New Roman" w:hAnsi="Times New Roman" w:cs="Times New Roman"/>
          <w:kern w:val="0"/>
          <w:lang w:eastAsia="en-AU"/>
          <w14:ligatures w14:val="none"/>
        </w:rPr>
      </w:pPr>
    </w:p>
    <w:p w14:paraId="0FA7B084" w14:textId="77777777" w:rsidR="002C25A6" w:rsidRPr="00C40F2A" w:rsidRDefault="002C25A6" w:rsidP="002C25A6">
      <w:p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i/>
          <w:iCs/>
          <w:kern w:val="0"/>
          <w:lang w:eastAsia="en-AU"/>
          <w14:ligatures w14:val="none"/>
        </w:rPr>
        <w:t>Figure 6: Information flow for monitoring, evaluation, and reporting, with feedback loops between members, NPO, SPREP HQ, and donors</w:t>
      </w:r>
    </w:p>
    <w:p w14:paraId="2F2B7133" w14:textId="77777777" w:rsidR="002C25A6" w:rsidRPr="00C40F2A" w:rsidRDefault="002C25A6" w:rsidP="002C25A6">
      <w:pPr>
        <w:spacing w:after="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(Note: The baseline metrics for 2024 – such as current climate finance accessed by each North Pacific member with SPREP support – will be established and documented separately. Future performance will be compared against this baseline.)</w:t>
      </w:r>
    </w:p>
    <w:p w14:paraId="03A0433E" w14:textId="77777777" w:rsidR="002C25A6" w:rsidRDefault="002C25A6" w:rsidP="002C25A6">
      <w:pPr>
        <w:spacing w:after="0" w:line="360" w:lineRule="auto"/>
        <w:jc w:val="both"/>
        <w:outlineLvl w:val="2"/>
        <w:rPr>
          <w:rFonts w:ascii="Times New Roman" w:eastAsia="Times New Roman" w:hAnsi="Times New Roman" w:cs="Times New Roman"/>
          <w:kern w:val="0"/>
          <w:sz w:val="28"/>
          <w:szCs w:val="28"/>
          <w:lang w:eastAsia="en-AU"/>
          <w14:ligatures w14:val="none"/>
        </w:rPr>
      </w:pPr>
      <w:bookmarkStart w:id="12" w:name="_Toc198652246"/>
    </w:p>
    <w:p w14:paraId="30A282AD" w14:textId="38D2A211" w:rsidR="002C25A6" w:rsidRPr="002C25A6" w:rsidRDefault="002C25A6" w:rsidP="002C25A6">
      <w:pPr>
        <w:spacing w:after="120" w:line="360" w:lineRule="auto"/>
        <w:jc w:val="both"/>
        <w:outlineLvl w:val="2"/>
        <w:rPr>
          <w:rFonts w:ascii="Times New Roman" w:eastAsia="Times New Roman" w:hAnsi="Times New Roman" w:cs="Times New Roman"/>
          <w:kern w:val="0"/>
          <w:sz w:val="28"/>
          <w:szCs w:val="28"/>
          <w:lang w:eastAsia="en-AU"/>
          <w14:ligatures w14:val="none"/>
        </w:rPr>
      </w:pPr>
      <w:r w:rsidRPr="002C25A6">
        <w:rPr>
          <w:rFonts w:ascii="Times New Roman" w:eastAsia="Times New Roman" w:hAnsi="Times New Roman" w:cs="Times New Roman"/>
          <w:kern w:val="0"/>
          <w:sz w:val="28"/>
          <w:szCs w:val="28"/>
          <w:lang w:eastAsia="en-AU"/>
          <w14:ligatures w14:val="none"/>
        </w:rPr>
        <w:t>Annex 2 – Key Donors and Development Partners</w:t>
      </w:r>
      <w:bookmarkEnd w:id="12"/>
    </w:p>
    <w:p w14:paraId="657BF5D2" w14:textId="77777777" w:rsidR="002C25A6" w:rsidRPr="00C40F2A" w:rsidRDefault="002C25A6" w:rsidP="002C25A6">
      <w:pPr>
        <w:spacing w:after="0"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The following are key donor agencies, development partners, and funding mechanisms that the SPREP North Pacific Office will engage with to support climate finance access for North Pacific members:</w:t>
      </w:r>
    </w:p>
    <w:p w14:paraId="21D0ED6E" w14:textId="77777777" w:rsidR="002C25A6" w:rsidRPr="00C40F2A" w:rsidRDefault="002C25A6" w:rsidP="002C25A6">
      <w:pPr>
        <w:numPr>
          <w:ilvl w:val="0"/>
          <w:numId w:val="8"/>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t>United States Government agencies</w:t>
      </w:r>
      <w:r w:rsidRPr="00C40F2A">
        <w:rPr>
          <w:rFonts w:ascii="Times New Roman" w:eastAsia="Times New Roman" w:hAnsi="Times New Roman" w:cs="Times New Roman"/>
          <w:kern w:val="0"/>
          <w:lang w:eastAsia="en-AU"/>
          <w14:ligatures w14:val="none"/>
        </w:rPr>
        <w:t xml:space="preserve"> – Historically, U.S. federal programs provided climate-related assistance to the Compact of Free Association (</w:t>
      </w:r>
      <w:proofErr w:type="spellStart"/>
      <w:r w:rsidRPr="00C40F2A">
        <w:rPr>
          <w:rFonts w:ascii="Times New Roman" w:eastAsia="Times New Roman" w:hAnsi="Times New Roman" w:cs="Times New Roman"/>
          <w:kern w:val="0"/>
          <w:lang w:eastAsia="en-AU"/>
          <w14:ligatures w14:val="none"/>
        </w:rPr>
        <w:t>CoFA</w:t>
      </w:r>
      <w:proofErr w:type="spellEnd"/>
      <w:r w:rsidRPr="00C40F2A">
        <w:rPr>
          <w:rFonts w:ascii="Times New Roman" w:eastAsia="Times New Roman" w:hAnsi="Times New Roman" w:cs="Times New Roman"/>
          <w:kern w:val="0"/>
          <w:lang w:eastAsia="en-AU"/>
          <w14:ligatures w14:val="none"/>
        </w:rPr>
        <w:t>) countries (FSM, RMI, Palau) and to the U.S. Territories (Guam and CNMI) under the Compacts. However, this dedicated U.S. support for the North Pacific region</w:t>
      </w:r>
      <w:r>
        <w:rPr>
          <w:rFonts w:ascii="Times New Roman" w:eastAsia="Times New Roman" w:hAnsi="Times New Roman" w:cs="Times New Roman"/>
          <w:kern w:val="0"/>
          <w:lang w:eastAsia="en-AU"/>
          <w14:ligatures w14:val="none"/>
        </w:rPr>
        <w:t xml:space="preserve"> may be impacted</w:t>
      </w:r>
      <w:r w:rsidRPr="00C40F2A">
        <w:rPr>
          <w:rFonts w:ascii="Times New Roman" w:eastAsia="Times New Roman" w:hAnsi="Times New Roman" w:cs="Times New Roman"/>
          <w:kern w:val="0"/>
          <w:lang w:eastAsia="en-AU"/>
          <w14:ligatures w14:val="none"/>
        </w:rPr>
        <w:t xml:space="preserve"> </w:t>
      </w:r>
      <w:r>
        <w:rPr>
          <w:rFonts w:ascii="Times New Roman" w:eastAsia="Times New Roman" w:hAnsi="Times New Roman" w:cs="Times New Roman"/>
          <w:kern w:val="0"/>
          <w:lang w:eastAsia="en-AU"/>
          <w14:ligatures w14:val="none"/>
        </w:rPr>
        <w:t>in future</w:t>
      </w:r>
      <w:r w:rsidRPr="00C40F2A">
        <w:rPr>
          <w:rFonts w:ascii="Times New Roman" w:eastAsia="Times New Roman" w:hAnsi="Times New Roman" w:cs="Times New Roman"/>
          <w:kern w:val="0"/>
          <w:lang w:eastAsia="en-AU"/>
          <w14:ligatures w14:val="none"/>
        </w:rPr>
        <w:t>.</w:t>
      </w:r>
    </w:p>
    <w:p w14:paraId="67315CBD" w14:textId="77777777" w:rsidR="002C25A6" w:rsidRPr="00C40F2A" w:rsidRDefault="002C25A6" w:rsidP="002C25A6">
      <w:pPr>
        <w:numPr>
          <w:ilvl w:val="0"/>
          <w:numId w:val="8"/>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t>USAID</w:t>
      </w:r>
      <w:r w:rsidRPr="00C40F2A">
        <w:rPr>
          <w:rFonts w:ascii="Times New Roman" w:eastAsia="Times New Roman" w:hAnsi="Times New Roman" w:cs="Times New Roman"/>
          <w:kern w:val="0"/>
          <w:lang w:eastAsia="en-AU"/>
          <w14:ligatures w14:val="none"/>
        </w:rPr>
        <w:t xml:space="preserve"> – The United States Agency for International Development, which had provided climate readiness and adaptation support in the Pacific (including </w:t>
      </w:r>
      <w:proofErr w:type="spellStart"/>
      <w:r w:rsidRPr="00C40F2A">
        <w:rPr>
          <w:rFonts w:ascii="Times New Roman" w:eastAsia="Times New Roman" w:hAnsi="Times New Roman" w:cs="Times New Roman"/>
          <w:kern w:val="0"/>
          <w:lang w:eastAsia="en-AU"/>
          <w14:ligatures w14:val="none"/>
        </w:rPr>
        <w:t>CoFA</w:t>
      </w:r>
      <w:proofErr w:type="spellEnd"/>
      <w:r w:rsidRPr="00C40F2A">
        <w:rPr>
          <w:rFonts w:ascii="Times New Roman" w:eastAsia="Times New Roman" w:hAnsi="Times New Roman" w:cs="Times New Roman"/>
          <w:kern w:val="0"/>
          <w:lang w:eastAsia="en-AU"/>
          <w14:ligatures w14:val="none"/>
        </w:rPr>
        <w:t xml:space="preserve"> states as well as Kiribati and Nauru). This support </w:t>
      </w:r>
      <w:r>
        <w:rPr>
          <w:rFonts w:ascii="Times New Roman" w:eastAsia="Times New Roman" w:hAnsi="Times New Roman" w:cs="Times New Roman"/>
          <w:kern w:val="0"/>
          <w:lang w:eastAsia="en-AU"/>
          <w14:ligatures w14:val="none"/>
        </w:rPr>
        <w:t>may</w:t>
      </w:r>
      <w:r w:rsidRPr="00C40F2A">
        <w:rPr>
          <w:rFonts w:ascii="Times New Roman" w:eastAsia="Times New Roman" w:hAnsi="Times New Roman" w:cs="Times New Roman"/>
          <w:kern w:val="0"/>
          <w:lang w:eastAsia="en-AU"/>
          <w14:ligatures w14:val="none"/>
        </w:rPr>
        <w:t xml:space="preserve"> no longer active in the North Pacific.</w:t>
      </w:r>
    </w:p>
    <w:p w14:paraId="0A1C947E" w14:textId="77777777" w:rsidR="002C25A6" w:rsidRPr="00C40F2A" w:rsidRDefault="002C25A6" w:rsidP="002C25A6">
      <w:pPr>
        <w:numPr>
          <w:ilvl w:val="0"/>
          <w:numId w:val="8"/>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t>World Bank</w:t>
      </w:r>
      <w:r w:rsidRPr="00C40F2A">
        <w:rPr>
          <w:rFonts w:ascii="Times New Roman" w:eastAsia="Times New Roman" w:hAnsi="Times New Roman" w:cs="Times New Roman"/>
          <w:kern w:val="0"/>
          <w:lang w:eastAsia="en-AU"/>
          <w14:ligatures w14:val="none"/>
        </w:rPr>
        <w:t xml:space="preserve"> – A major financier of climate resilience and development projects in the Pacific; a potential partner for large infrastructure projects and policy-based funding in the North Pacific.</w:t>
      </w:r>
    </w:p>
    <w:p w14:paraId="0579525C" w14:textId="77777777" w:rsidR="002C25A6" w:rsidRPr="00C40F2A" w:rsidRDefault="002C25A6" w:rsidP="002C25A6">
      <w:pPr>
        <w:numPr>
          <w:ilvl w:val="0"/>
          <w:numId w:val="8"/>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lastRenderedPageBreak/>
        <w:t>Asian Development Bank (ADB)</w:t>
      </w:r>
      <w:r w:rsidRPr="00C40F2A">
        <w:rPr>
          <w:rFonts w:ascii="Times New Roman" w:eastAsia="Times New Roman" w:hAnsi="Times New Roman" w:cs="Times New Roman"/>
          <w:kern w:val="0"/>
          <w:lang w:eastAsia="en-AU"/>
          <w14:ligatures w14:val="none"/>
        </w:rPr>
        <w:t xml:space="preserve"> – Active in funding renewable energy, infrastructure, and climate adaptation projects in the North Pacific. ADB often co-finances with climate funds and provides technical assistance grants.</w:t>
      </w:r>
    </w:p>
    <w:p w14:paraId="1A5949D3" w14:textId="77777777" w:rsidR="002C25A6" w:rsidRPr="00C40F2A" w:rsidRDefault="002C25A6" w:rsidP="002C25A6">
      <w:pPr>
        <w:numPr>
          <w:ilvl w:val="0"/>
          <w:numId w:val="8"/>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t>United Nations Agencies</w:t>
      </w:r>
      <w:r w:rsidRPr="00C40F2A">
        <w:rPr>
          <w:rFonts w:ascii="Times New Roman" w:eastAsia="Times New Roman" w:hAnsi="Times New Roman" w:cs="Times New Roman"/>
          <w:kern w:val="0"/>
          <w:lang w:eastAsia="en-AU"/>
          <w14:ligatures w14:val="none"/>
        </w:rPr>
        <w:t xml:space="preserve"> – Such as UNDP, UNEP, FAO, UNESCO, and others that implement climate change projects and capacity-building initiatives in the region. They are key partners for GEF projects and technical assistance. (For example, UNDP has supported GCF readiness in RMI and Nauru; FAO works on climate-smart agriculture; UNEP on early warning systems.)</w:t>
      </w:r>
    </w:p>
    <w:p w14:paraId="6E71D22E" w14:textId="77777777" w:rsidR="002C25A6" w:rsidRPr="00C40F2A" w:rsidRDefault="002C25A6" w:rsidP="002C25A6">
      <w:pPr>
        <w:numPr>
          <w:ilvl w:val="0"/>
          <w:numId w:val="8"/>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t>Government of Australia</w:t>
      </w:r>
      <w:r w:rsidRPr="00C40F2A">
        <w:rPr>
          <w:rFonts w:ascii="Times New Roman" w:eastAsia="Times New Roman" w:hAnsi="Times New Roman" w:cs="Times New Roman"/>
          <w:kern w:val="0"/>
          <w:lang w:eastAsia="en-AU"/>
          <w14:ligatures w14:val="none"/>
        </w:rPr>
        <w:t xml:space="preserve"> – Australia is scaling up climate and development support in the Pacific, including North Pacific countries (especially the </w:t>
      </w:r>
      <w:proofErr w:type="spellStart"/>
      <w:r w:rsidRPr="00C40F2A">
        <w:rPr>
          <w:rFonts w:ascii="Times New Roman" w:eastAsia="Times New Roman" w:hAnsi="Times New Roman" w:cs="Times New Roman"/>
          <w:kern w:val="0"/>
          <w:lang w:eastAsia="en-AU"/>
          <w14:ligatures w14:val="none"/>
        </w:rPr>
        <w:t>CoFA</w:t>
      </w:r>
      <w:proofErr w:type="spellEnd"/>
      <w:r w:rsidRPr="00C40F2A">
        <w:rPr>
          <w:rFonts w:ascii="Times New Roman" w:eastAsia="Times New Roman" w:hAnsi="Times New Roman" w:cs="Times New Roman"/>
          <w:kern w:val="0"/>
          <w:lang w:eastAsia="en-AU"/>
          <w14:ligatures w14:val="none"/>
        </w:rPr>
        <w:t xml:space="preserve"> countries, Nauru, and Kiribati). Australian-funded programs and direct aid are important sources of project financing and technical support.</w:t>
      </w:r>
    </w:p>
    <w:p w14:paraId="1F992733" w14:textId="77777777" w:rsidR="002C25A6" w:rsidRPr="00C40F2A" w:rsidRDefault="002C25A6" w:rsidP="002C25A6">
      <w:pPr>
        <w:numPr>
          <w:ilvl w:val="0"/>
          <w:numId w:val="8"/>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t>Government of New Zealand</w:t>
      </w:r>
      <w:r w:rsidRPr="00C40F2A">
        <w:rPr>
          <w:rFonts w:ascii="Times New Roman" w:eastAsia="Times New Roman" w:hAnsi="Times New Roman" w:cs="Times New Roman"/>
          <w:kern w:val="0"/>
          <w:lang w:eastAsia="en-AU"/>
          <w14:ligatures w14:val="none"/>
        </w:rPr>
        <w:t xml:space="preserve"> – New Zealand provides targeted assistance to Pacific islands (with a focus on Polynesia but also some support to Kiribati and Nauru). NZ has funded projects like the loss and damage initiative in RMI and FSM and can be a source of grant funding for adaptation and capacity-building projects.</w:t>
      </w:r>
    </w:p>
    <w:p w14:paraId="51818600" w14:textId="77777777" w:rsidR="002C25A6" w:rsidRPr="00C40F2A" w:rsidRDefault="002C25A6" w:rsidP="002C25A6">
      <w:pPr>
        <w:numPr>
          <w:ilvl w:val="0"/>
          <w:numId w:val="8"/>
        </w:numPr>
        <w:spacing w:before="100" w:beforeAutospacing="1" w:after="120" w:line="340" w:lineRule="exact"/>
        <w:ind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t>Government of Japan</w:t>
      </w:r>
      <w:r w:rsidRPr="00C40F2A">
        <w:rPr>
          <w:rFonts w:ascii="Times New Roman" w:eastAsia="Times New Roman" w:hAnsi="Times New Roman" w:cs="Times New Roman"/>
          <w:kern w:val="0"/>
          <w:lang w:eastAsia="en-AU"/>
          <w14:ligatures w14:val="none"/>
        </w:rPr>
        <w:t xml:space="preserve"> – Japan (through JICA and grant aid) is a significant contributor to Pacific climate-related projects, including disaster risk reduction, water security, and renewable energy in Micronesia.</w:t>
      </w:r>
    </w:p>
    <w:p w14:paraId="70FE89DC" w14:textId="77777777" w:rsidR="002C25A6" w:rsidRPr="00C40F2A" w:rsidRDefault="002C25A6" w:rsidP="002C25A6">
      <w:pPr>
        <w:numPr>
          <w:ilvl w:val="0"/>
          <w:numId w:val="8"/>
        </w:numPr>
        <w:spacing w:before="100" w:beforeAutospacing="1" w:after="120" w:line="340" w:lineRule="exact"/>
        <w:ind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t>Taiwan (Republic of China)</w:t>
      </w:r>
      <w:r w:rsidRPr="00C40F2A">
        <w:rPr>
          <w:rFonts w:ascii="Times New Roman" w:eastAsia="Times New Roman" w:hAnsi="Times New Roman" w:cs="Times New Roman"/>
          <w:kern w:val="0"/>
          <w:lang w:eastAsia="en-AU"/>
          <w14:ligatures w14:val="none"/>
        </w:rPr>
        <w:t xml:space="preserve"> – Taiwan is a development partner for several North Pacific countries, funding infrastructure and occasionally environmental projects (particularly in Palau, Nauru, and RMI which have diplomatic ties).</w:t>
      </w:r>
    </w:p>
    <w:p w14:paraId="6FFBB148" w14:textId="77777777" w:rsidR="002C25A6" w:rsidRPr="00C40F2A" w:rsidRDefault="002C25A6" w:rsidP="002C25A6">
      <w:pPr>
        <w:numPr>
          <w:ilvl w:val="0"/>
          <w:numId w:val="8"/>
        </w:numPr>
        <w:spacing w:before="100" w:beforeAutospacing="1" w:after="120" w:line="340" w:lineRule="exact"/>
        <w:ind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t>The Nature Conservancy (TNC)</w:t>
      </w:r>
      <w:r w:rsidRPr="00C40F2A">
        <w:rPr>
          <w:rFonts w:ascii="Times New Roman" w:eastAsia="Times New Roman" w:hAnsi="Times New Roman" w:cs="Times New Roman"/>
          <w:kern w:val="0"/>
          <w:lang w:eastAsia="en-AU"/>
          <w14:ligatures w14:val="none"/>
        </w:rPr>
        <w:t xml:space="preserve"> – An international NGO with a strong presence in Micronesia (via the TNC Micronesia Program) involved in conservation finance, the Micronesia Challenge, and innovative funding for ecosystem and climate initiatives.</w:t>
      </w:r>
    </w:p>
    <w:p w14:paraId="25CD1ACF" w14:textId="77777777" w:rsidR="002C25A6" w:rsidRPr="00C40F2A" w:rsidRDefault="002C25A6" w:rsidP="002C25A6">
      <w:pPr>
        <w:numPr>
          <w:ilvl w:val="0"/>
          <w:numId w:val="8"/>
        </w:numPr>
        <w:spacing w:before="100" w:beforeAutospacing="1" w:after="120" w:line="340" w:lineRule="exact"/>
        <w:ind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t>The Micronesia Challenge</w:t>
      </w:r>
      <w:r w:rsidRPr="00C40F2A">
        <w:rPr>
          <w:rFonts w:ascii="Times New Roman" w:eastAsia="Times New Roman" w:hAnsi="Times New Roman" w:cs="Times New Roman"/>
          <w:kern w:val="0"/>
          <w:lang w:eastAsia="en-AU"/>
          <w14:ligatures w14:val="none"/>
        </w:rPr>
        <w:t xml:space="preserve"> – A regional initiative with a trust fund that supports conservation and climate resilience in the Micronesian region. It pools funding from various governments and donors to finance projects that help achieve the Challenge’s targets (30% marine, 20% terrestrial areas conserved, etc.), which overlap with climate adaptation goals.</w:t>
      </w:r>
    </w:p>
    <w:p w14:paraId="488A3038" w14:textId="77777777" w:rsidR="002C25A6" w:rsidRPr="00C40F2A" w:rsidRDefault="002C25A6" w:rsidP="002C25A6">
      <w:pPr>
        <w:numPr>
          <w:ilvl w:val="0"/>
          <w:numId w:val="8"/>
        </w:numPr>
        <w:spacing w:before="100" w:beforeAutospacing="1" w:after="120" w:line="340" w:lineRule="exact"/>
        <w:ind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t>Micronesia Islands Forum (MIF)</w:t>
      </w:r>
      <w:r w:rsidRPr="00C40F2A">
        <w:rPr>
          <w:rFonts w:ascii="Times New Roman" w:eastAsia="Times New Roman" w:hAnsi="Times New Roman" w:cs="Times New Roman"/>
          <w:kern w:val="0"/>
          <w:lang w:eastAsia="en-AU"/>
          <w14:ligatures w14:val="none"/>
        </w:rPr>
        <w:t xml:space="preserve"> – While not a funding agency, the MIF (comprising leaders of Micronesian states) has influence in mobilizing resources and advocating for funding. Its committees (like PIRRIC for recycling, the Micronesia Challenge, etc.) often work closely with donors.</w:t>
      </w:r>
    </w:p>
    <w:p w14:paraId="7868B6F2" w14:textId="77777777" w:rsidR="002C25A6" w:rsidRPr="00C40F2A" w:rsidRDefault="002C25A6" w:rsidP="002C25A6">
      <w:pPr>
        <w:numPr>
          <w:ilvl w:val="0"/>
          <w:numId w:val="8"/>
        </w:numPr>
        <w:spacing w:before="100" w:beforeAutospacing="1" w:after="120" w:line="340" w:lineRule="exact"/>
        <w:ind w:hanging="357"/>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b/>
          <w:bCs/>
          <w:kern w:val="0"/>
          <w:lang w:eastAsia="en-AU"/>
          <w14:ligatures w14:val="none"/>
        </w:rPr>
        <w:t>Micronesian Presidents’ Summit (MPS)</w:t>
      </w:r>
      <w:r w:rsidRPr="00C40F2A">
        <w:rPr>
          <w:rFonts w:ascii="Times New Roman" w:eastAsia="Times New Roman" w:hAnsi="Times New Roman" w:cs="Times New Roman"/>
          <w:kern w:val="0"/>
          <w:lang w:eastAsia="en-AU"/>
          <w14:ligatures w14:val="none"/>
        </w:rPr>
        <w:t xml:space="preserve"> – Similar to MIF, this political body’s decisions can direct attention and resources to regional priorities. Development partners listen to the MPS outcomes, which can lead to new funding initiatives.</w:t>
      </w:r>
    </w:p>
    <w:p w14:paraId="643F639D" w14:textId="77777777" w:rsidR="002C25A6" w:rsidRPr="002C25A6" w:rsidRDefault="002C25A6" w:rsidP="002C25A6">
      <w:pPr>
        <w:spacing w:before="100" w:beforeAutospacing="1" w:after="120" w:line="360" w:lineRule="auto"/>
        <w:jc w:val="both"/>
        <w:outlineLvl w:val="2"/>
        <w:rPr>
          <w:rFonts w:ascii="Times New Roman" w:eastAsia="Times New Roman" w:hAnsi="Times New Roman" w:cs="Times New Roman"/>
          <w:kern w:val="0"/>
          <w:sz w:val="28"/>
          <w:szCs w:val="28"/>
          <w:lang w:eastAsia="en-AU"/>
          <w14:ligatures w14:val="none"/>
        </w:rPr>
      </w:pPr>
      <w:bookmarkStart w:id="13" w:name="_Toc198652247"/>
      <w:r w:rsidRPr="002C25A6">
        <w:rPr>
          <w:rFonts w:ascii="Times New Roman" w:eastAsia="Times New Roman" w:hAnsi="Times New Roman" w:cs="Times New Roman"/>
          <w:kern w:val="0"/>
          <w:sz w:val="28"/>
          <w:szCs w:val="28"/>
          <w:lang w:eastAsia="en-AU"/>
          <w14:ligatures w14:val="none"/>
        </w:rPr>
        <w:lastRenderedPageBreak/>
        <w:t>Annex 3 – Priority Sub-Regional Project Ideas for Support</w:t>
      </w:r>
      <w:bookmarkEnd w:id="13"/>
    </w:p>
    <w:p w14:paraId="6EDD680E" w14:textId="77777777" w:rsidR="002C25A6" w:rsidRPr="00C40F2A" w:rsidRDefault="002C25A6" w:rsidP="002C25A6">
      <w:pPr>
        <w:spacing w:after="100" w:afterAutospacing="1" w:line="340" w:lineRule="exact"/>
        <w:jc w:val="both"/>
        <w:rPr>
          <w:rFonts w:ascii="Times New Roman" w:eastAsia="Times New Roman" w:hAnsi="Times New Roman" w:cs="Times New Roman"/>
          <w:kern w:val="0"/>
          <w:lang w:eastAsia="en-AU"/>
          <w14:ligatures w14:val="none"/>
        </w:rPr>
      </w:pPr>
      <w:proofErr w:type="gramStart"/>
      <w:r w:rsidRPr="00C40F2A">
        <w:rPr>
          <w:rFonts w:ascii="Times New Roman" w:eastAsia="Times New Roman" w:hAnsi="Times New Roman" w:cs="Times New Roman"/>
          <w:kern w:val="0"/>
          <w:lang w:eastAsia="en-AU"/>
          <w14:ligatures w14:val="none"/>
        </w:rPr>
        <w:t>In order to</w:t>
      </w:r>
      <w:proofErr w:type="gramEnd"/>
      <w:r w:rsidRPr="00C40F2A">
        <w:rPr>
          <w:rFonts w:ascii="Times New Roman" w:eastAsia="Times New Roman" w:hAnsi="Times New Roman" w:cs="Times New Roman"/>
          <w:kern w:val="0"/>
          <w:lang w:eastAsia="en-AU"/>
          <w14:ligatures w14:val="none"/>
        </w:rPr>
        <w:t xml:space="preserve"> maintain a proactive pipeline of project concepts, SPREP will gather and refine priority sub-regional project ideas in consultation with North Pacific members. A dedicated planning meeting </w:t>
      </w:r>
      <w:r>
        <w:rPr>
          <w:rFonts w:ascii="Times New Roman" w:eastAsia="Times New Roman" w:hAnsi="Times New Roman" w:cs="Times New Roman"/>
          <w:kern w:val="0"/>
          <w:lang w:eastAsia="en-AU"/>
          <w14:ligatures w14:val="none"/>
        </w:rPr>
        <w:t xml:space="preserve">opportunity can potentially be convened for </w:t>
      </w:r>
      <w:r w:rsidRPr="00C40F2A">
        <w:rPr>
          <w:rFonts w:ascii="Times New Roman" w:eastAsia="Times New Roman" w:hAnsi="Times New Roman" w:cs="Times New Roman"/>
          <w:kern w:val="0"/>
          <w:lang w:eastAsia="en-AU"/>
          <w14:ligatures w14:val="none"/>
        </w:rPr>
        <w:t>the North Pacific members to solicit and discuss project ideas from each country/territory. During this meeting, representatives of each North Pacific member will be invited to present their top climate finance project concepts or needs that require external funding. These may range from multi-country proposals (e.g. a joint Atoll Adaptation Program) to national projects that could benefit from regional coordination or SPREP’s support.</w:t>
      </w:r>
    </w:p>
    <w:p w14:paraId="3EEDE21D" w14:textId="77777777" w:rsidR="002C25A6" w:rsidRPr="00C40F2A" w:rsidRDefault="002C25A6" w:rsidP="002C25A6">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Additionally, SPREP will utilize its ongoing CTSPF process in each country to identify and document project ideas for support. As the CTSPF is updated with new priorities, any project concepts that require funding can be noted. SPREP staff (NPO and Apia) will compile these ideas into a consolidated list of bankable proposals. This list will be regularly reviewed and updated and used as the basis for approaching donors and preparing concept notes when opportunities arise.</w:t>
      </w:r>
    </w:p>
    <w:p w14:paraId="47084448" w14:textId="77777777" w:rsidR="002C25A6" w:rsidRPr="00C40F2A" w:rsidRDefault="002C25A6" w:rsidP="002C25A6">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C40F2A">
        <w:rPr>
          <w:rFonts w:ascii="Times New Roman" w:eastAsia="Times New Roman" w:hAnsi="Times New Roman" w:cs="Times New Roman"/>
          <w:kern w:val="0"/>
          <w:lang w:eastAsia="en-AU"/>
          <w14:ligatures w14:val="none"/>
        </w:rPr>
        <w:t>Current broad ideas that have been preliminarily identified (to be further developed through the above consultations) include: coastal protection for atoll islets (multi-country), renewable energy and battery storage in outer islands, climate-resilient water infrastructure across Micronesia, an integrated waste management and circular economy project for the North Pacific, scaling up ecosystem-based adaptation in atoll ecosystems, and a regional training program for young climate finance professionals in Micronesia. (These are examples; the formal list will be determined by member inputs and strategic alignment.)</w:t>
      </w:r>
    </w:p>
    <w:p w14:paraId="42C83EAC" w14:textId="77777777" w:rsidR="002C25A6" w:rsidRDefault="002C25A6" w:rsidP="002C25A6">
      <w:pPr>
        <w:spacing w:after="100" w:afterAutospacing="1" w:line="340" w:lineRule="exact"/>
        <w:jc w:val="both"/>
        <w:rPr>
          <w:rFonts w:ascii="Times New Roman" w:eastAsia="Times New Roman" w:hAnsi="Times New Roman" w:cs="Times New Roman"/>
          <w:kern w:val="0"/>
          <w:lang w:eastAsia="en-AU"/>
          <w14:ligatures w14:val="none"/>
        </w:rPr>
      </w:pPr>
    </w:p>
    <w:p w14:paraId="7E226E13" w14:textId="55EAC1D3" w:rsidR="002C25A6" w:rsidRDefault="002C25A6" w:rsidP="002C25A6">
      <w:pPr>
        <w:spacing w:after="100" w:afterAutospacing="1" w:line="340" w:lineRule="exact"/>
        <w:jc w:val="both"/>
        <w:rPr>
          <w:rFonts w:ascii="Times New Roman" w:eastAsia="Times New Roman" w:hAnsi="Times New Roman" w:cs="Times New Roman"/>
          <w:kern w:val="0"/>
          <w:lang w:eastAsia="en-AU"/>
          <w14:ligatures w14:val="none"/>
        </w:rPr>
        <w:sectPr w:rsidR="002C25A6" w:rsidSect="008E67D1">
          <w:pgSz w:w="11906" w:h="16838"/>
          <w:pgMar w:top="1276" w:right="1440" w:bottom="1440" w:left="1440" w:header="720" w:footer="720" w:gutter="0"/>
          <w:cols w:space="720"/>
          <w:titlePg/>
          <w:docGrid w:linePitch="360"/>
        </w:sectPr>
      </w:pPr>
    </w:p>
    <w:p w14:paraId="678F1856" w14:textId="77777777" w:rsidR="002C25A6" w:rsidRPr="00C40F2A" w:rsidRDefault="002C25A6">
      <w:pPr>
        <w:spacing w:before="100" w:beforeAutospacing="1" w:after="100" w:afterAutospacing="1" w:line="360" w:lineRule="auto"/>
        <w:jc w:val="both"/>
        <w:rPr>
          <w:rFonts w:ascii="Times New Roman" w:eastAsia="Times New Roman" w:hAnsi="Times New Roman" w:cs="Times New Roman"/>
          <w:kern w:val="0"/>
          <w:lang w:eastAsia="en-AU"/>
          <w14:ligatures w14:val="none"/>
        </w:rPr>
      </w:pPr>
    </w:p>
    <w:sectPr w:rsidR="002C25A6" w:rsidRPr="00C40F2A" w:rsidSect="00C40F2A">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94AF" w14:textId="77777777" w:rsidR="0032327E" w:rsidRDefault="0032327E" w:rsidP="00C40F2A">
      <w:pPr>
        <w:spacing w:after="0" w:line="240" w:lineRule="auto"/>
      </w:pPr>
      <w:r>
        <w:separator/>
      </w:r>
    </w:p>
  </w:endnote>
  <w:endnote w:type="continuationSeparator" w:id="0">
    <w:p w14:paraId="04320911" w14:textId="77777777" w:rsidR="0032327E" w:rsidRDefault="0032327E" w:rsidP="00C4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7A3E" w14:textId="333AC82A" w:rsidR="00C40F2A" w:rsidRDefault="00C40F2A">
    <w:pPr>
      <w:pStyle w:val="Footer"/>
      <w:jc w:val="center"/>
    </w:pPr>
  </w:p>
  <w:p w14:paraId="39C0EB62" w14:textId="77777777" w:rsidR="00C40F2A" w:rsidRDefault="00C40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960947"/>
      <w:docPartObj>
        <w:docPartGallery w:val="Page Numbers (Bottom of Page)"/>
        <w:docPartUnique/>
      </w:docPartObj>
    </w:sdtPr>
    <w:sdtEndPr>
      <w:rPr>
        <w:noProof/>
      </w:rPr>
    </w:sdtEndPr>
    <w:sdtContent>
      <w:p w14:paraId="5A34E376" w14:textId="6718D508" w:rsidR="00FA5768" w:rsidRDefault="00FA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BF2566" w14:textId="77777777" w:rsidR="00FA5768" w:rsidRDefault="00FA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D35C" w14:textId="77777777" w:rsidR="0032327E" w:rsidRDefault="0032327E" w:rsidP="00C40F2A">
      <w:pPr>
        <w:spacing w:after="0" w:line="240" w:lineRule="auto"/>
      </w:pPr>
      <w:r>
        <w:separator/>
      </w:r>
    </w:p>
  </w:footnote>
  <w:footnote w:type="continuationSeparator" w:id="0">
    <w:p w14:paraId="03811F70" w14:textId="77777777" w:rsidR="0032327E" w:rsidRDefault="0032327E" w:rsidP="00C40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ADB"/>
    <w:multiLevelType w:val="multilevel"/>
    <w:tmpl w:val="C6820C8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C789E"/>
    <w:multiLevelType w:val="multilevel"/>
    <w:tmpl w:val="0EC4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05EB6"/>
    <w:multiLevelType w:val="multilevel"/>
    <w:tmpl w:val="FF46C378"/>
    <w:lvl w:ilvl="0">
      <w:start w:val="1"/>
      <w:numFmt w:val="lowerLetter"/>
      <w:lvlText w:val="%1)"/>
      <w:lvlJc w:val="left"/>
      <w:pPr>
        <w:tabs>
          <w:tab w:val="num" w:pos="720"/>
        </w:tabs>
        <w:ind w:left="720" w:hanging="360"/>
      </w:pPr>
      <w:rPr>
        <w:rFonts w:hint="default"/>
        <w:b w:val="0"/>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E4819"/>
    <w:multiLevelType w:val="multilevel"/>
    <w:tmpl w:val="38E62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A0709F"/>
    <w:multiLevelType w:val="multilevel"/>
    <w:tmpl w:val="26C0142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625DA"/>
    <w:multiLevelType w:val="multilevel"/>
    <w:tmpl w:val="BDB6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57CF5"/>
    <w:multiLevelType w:val="multilevel"/>
    <w:tmpl w:val="0D5AA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0D0EC9"/>
    <w:multiLevelType w:val="multilevel"/>
    <w:tmpl w:val="E76005C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BF73FE"/>
    <w:multiLevelType w:val="multilevel"/>
    <w:tmpl w:val="D3FCEAE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E27C1"/>
    <w:multiLevelType w:val="multilevel"/>
    <w:tmpl w:val="BA22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423E2"/>
    <w:multiLevelType w:val="multilevel"/>
    <w:tmpl w:val="8C4E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95846"/>
    <w:multiLevelType w:val="multilevel"/>
    <w:tmpl w:val="752E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704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15924">
    <w:abstractNumId w:val="6"/>
  </w:num>
  <w:num w:numId="2" w16cid:durableId="1693068086">
    <w:abstractNumId w:val="3"/>
  </w:num>
  <w:num w:numId="3" w16cid:durableId="589580742">
    <w:abstractNumId w:val="1"/>
  </w:num>
  <w:num w:numId="4" w16cid:durableId="475949455">
    <w:abstractNumId w:val="0"/>
  </w:num>
  <w:num w:numId="5" w16cid:durableId="1035154016">
    <w:abstractNumId w:val="8"/>
  </w:num>
  <w:num w:numId="6" w16cid:durableId="1406875598">
    <w:abstractNumId w:val="7"/>
  </w:num>
  <w:num w:numId="7" w16cid:durableId="1769885884">
    <w:abstractNumId w:val="2"/>
  </w:num>
  <w:num w:numId="8" w16cid:durableId="762798631">
    <w:abstractNumId w:val="11"/>
  </w:num>
  <w:num w:numId="9" w16cid:durableId="1304776958">
    <w:abstractNumId w:val="5"/>
  </w:num>
  <w:num w:numId="10" w16cid:durableId="22942593">
    <w:abstractNumId w:val="10"/>
  </w:num>
  <w:num w:numId="11" w16cid:durableId="1085807907">
    <w:abstractNumId w:val="9"/>
  </w:num>
  <w:num w:numId="12" w16cid:durableId="1938370996">
    <w:abstractNumId w:val="12"/>
  </w:num>
  <w:num w:numId="13" w16cid:durableId="1148939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2A"/>
    <w:rsid w:val="000761F4"/>
    <w:rsid w:val="002C25A6"/>
    <w:rsid w:val="0032327E"/>
    <w:rsid w:val="00377D1C"/>
    <w:rsid w:val="003A703C"/>
    <w:rsid w:val="00441561"/>
    <w:rsid w:val="00456CCE"/>
    <w:rsid w:val="004E42F7"/>
    <w:rsid w:val="00501869"/>
    <w:rsid w:val="00531D4B"/>
    <w:rsid w:val="00557DFB"/>
    <w:rsid w:val="0057420B"/>
    <w:rsid w:val="0071021D"/>
    <w:rsid w:val="0071268E"/>
    <w:rsid w:val="00774C4D"/>
    <w:rsid w:val="00860353"/>
    <w:rsid w:val="008930CD"/>
    <w:rsid w:val="008E67D1"/>
    <w:rsid w:val="00900500"/>
    <w:rsid w:val="00911365"/>
    <w:rsid w:val="009B0450"/>
    <w:rsid w:val="009C1FCF"/>
    <w:rsid w:val="009D3C05"/>
    <w:rsid w:val="00A17B7C"/>
    <w:rsid w:val="00A45F59"/>
    <w:rsid w:val="00A72752"/>
    <w:rsid w:val="00AC23E5"/>
    <w:rsid w:val="00AF5BC9"/>
    <w:rsid w:val="00C40F2A"/>
    <w:rsid w:val="00CA4ABD"/>
    <w:rsid w:val="00CF0197"/>
    <w:rsid w:val="00D134EF"/>
    <w:rsid w:val="00D32A7A"/>
    <w:rsid w:val="00D55FF4"/>
    <w:rsid w:val="00D764DE"/>
    <w:rsid w:val="00DB0EE6"/>
    <w:rsid w:val="00DC1C5B"/>
    <w:rsid w:val="00DC329B"/>
    <w:rsid w:val="00E4742A"/>
    <w:rsid w:val="00E83F3E"/>
    <w:rsid w:val="00F16FEF"/>
    <w:rsid w:val="00F31327"/>
    <w:rsid w:val="00FA5768"/>
    <w:rsid w:val="00FC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5487"/>
  <w15:chartTrackingRefBased/>
  <w15:docId w15:val="{353C8F7C-C6CB-46C0-AAA0-60BAF6CA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F2A"/>
    <w:rPr>
      <w:rFonts w:eastAsiaTheme="majorEastAsia" w:cstheme="majorBidi"/>
      <w:color w:val="272727" w:themeColor="text1" w:themeTint="D8"/>
    </w:rPr>
  </w:style>
  <w:style w:type="paragraph" w:styleId="Title">
    <w:name w:val="Title"/>
    <w:basedOn w:val="Normal"/>
    <w:next w:val="Normal"/>
    <w:link w:val="TitleChar"/>
    <w:uiPriority w:val="10"/>
    <w:qFormat/>
    <w:rsid w:val="00C40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F2A"/>
    <w:pPr>
      <w:spacing w:before="160"/>
      <w:jc w:val="center"/>
    </w:pPr>
    <w:rPr>
      <w:i/>
      <w:iCs/>
      <w:color w:val="404040" w:themeColor="text1" w:themeTint="BF"/>
    </w:rPr>
  </w:style>
  <w:style w:type="character" w:customStyle="1" w:styleId="QuoteChar">
    <w:name w:val="Quote Char"/>
    <w:basedOn w:val="DefaultParagraphFont"/>
    <w:link w:val="Quote"/>
    <w:uiPriority w:val="29"/>
    <w:rsid w:val="00C40F2A"/>
    <w:rPr>
      <w:i/>
      <w:iCs/>
      <w:color w:val="404040" w:themeColor="text1" w:themeTint="BF"/>
    </w:rPr>
  </w:style>
  <w:style w:type="paragraph" w:styleId="ListParagraph">
    <w:name w:val="List Paragraph"/>
    <w:basedOn w:val="Normal"/>
    <w:uiPriority w:val="34"/>
    <w:qFormat/>
    <w:rsid w:val="00C40F2A"/>
    <w:pPr>
      <w:ind w:left="720"/>
      <w:contextualSpacing/>
    </w:pPr>
  </w:style>
  <w:style w:type="character" w:styleId="IntenseEmphasis">
    <w:name w:val="Intense Emphasis"/>
    <w:basedOn w:val="DefaultParagraphFont"/>
    <w:uiPriority w:val="21"/>
    <w:qFormat/>
    <w:rsid w:val="00C40F2A"/>
    <w:rPr>
      <w:i/>
      <w:iCs/>
      <w:color w:val="0F4761" w:themeColor="accent1" w:themeShade="BF"/>
    </w:rPr>
  </w:style>
  <w:style w:type="paragraph" w:styleId="IntenseQuote">
    <w:name w:val="Intense Quote"/>
    <w:basedOn w:val="Normal"/>
    <w:next w:val="Normal"/>
    <w:link w:val="IntenseQuoteChar"/>
    <w:uiPriority w:val="30"/>
    <w:qFormat/>
    <w:rsid w:val="00C40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F2A"/>
    <w:rPr>
      <w:i/>
      <w:iCs/>
      <w:color w:val="0F4761" w:themeColor="accent1" w:themeShade="BF"/>
    </w:rPr>
  </w:style>
  <w:style w:type="character" w:styleId="IntenseReference">
    <w:name w:val="Intense Reference"/>
    <w:basedOn w:val="DefaultParagraphFont"/>
    <w:uiPriority w:val="32"/>
    <w:qFormat/>
    <w:rsid w:val="00C40F2A"/>
    <w:rPr>
      <w:b/>
      <w:bCs/>
      <w:smallCaps/>
      <w:color w:val="0F4761" w:themeColor="accent1" w:themeShade="BF"/>
      <w:spacing w:val="5"/>
    </w:rPr>
  </w:style>
  <w:style w:type="paragraph" w:styleId="Header">
    <w:name w:val="header"/>
    <w:basedOn w:val="Normal"/>
    <w:link w:val="HeaderChar"/>
    <w:uiPriority w:val="99"/>
    <w:unhideWhenUsed/>
    <w:rsid w:val="00C40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F2A"/>
  </w:style>
  <w:style w:type="paragraph" w:styleId="Footer">
    <w:name w:val="footer"/>
    <w:basedOn w:val="Normal"/>
    <w:link w:val="FooterChar"/>
    <w:uiPriority w:val="99"/>
    <w:unhideWhenUsed/>
    <w:rsid w:val="00C40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F2A"/>
  </w:style>
  <w:style w:type="character" w:styleId="Hyperlink">
    <w:name w:val="Hyperlink"/>
    <w:basedOn w:val="DefaultParagraphFont"/>
    <w:uiPriority w:val="99"/>
    <w:unhideWhenUsed/>
    <w:rsid w:val="00D134EF"/>
    <w:rPr>
      <w:color w:val="467886" w:themeColor="hyperlink"/>
      <w:u w:val="single"/>
    </w:rPr>
  </w:style>
  <w:style w:type="character" w:styleId="UnresolvedMention">
    <w:name w:val="Unresolved Mention"/>
    <w:basedOn w:val="DefaultParagraphFont"/>
    <w:uiPriority w:val="99"/>
    <w:semiHidden/>
    <w:unhideWhenUsed/>
    <w:rsid w:val="00D134EF"/>
    <w:rPr>
      <w:color w:val="605E5C"/>
      <w:shd w:val="clear" w:color="auto" w:fill="E1DFDD"/>
    </w:rPr>
  </w:style>
  <w:style w:type="paragraph" w:styleId="TOCHeading">
    <w:name w:val="TOC Heading"/>
    <w:basedOn w:val="Heading1"/>
    <w:next w:val="Normal"/>
    <w:uiPriority w:val="39"/>
    <w:unhideWhenUsed/>
    <w:qFormat/>
    <w:rsid w:val="000761F4"/>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0761F4"/>
    <w:pPr>
      <w:spacing w:after="100"/>
      <w:ind w:left="240"/>
    </w:pPr>
  </w:style>
  <w:style w:type="paragraph" w:styleId="TOC1">
    <w:name w:val="toc 1"/>
    <w:basedOn w:val="Normal"/>
    <w:next w:val="Normal"/>
    <w:autoRedefine/>
    <w:uiPriority w:val="39"/>
    <w:unhideWhenUsed/>
    <w:rsid w:val="000761F4"/>
    <w:pPr>
      <w:spacing w:after="100"/>
    </w:pPr>
  </w:style>
  <w:style w:type="paragraph" w:styleId="TOC3">
    <w:name w:val="toc 3"/>
    <w:basedOn w:val="Normal"/>
    <w:next w:val="Normal"/>
    <w:autoRedefine/>
    <w:uiPriority w:val="39"/>
    <w:unhideWhenUsed/>
    <w:rsid w:val="000761F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1397">
      <w:bodyDiv w:val="1"/>
      <w:marLeft w:val="0"/>
      <w:marRight w:val="0"/>
      <w:marTop w:val="0"/>
      <w:marBottom w:val="0"/>
      <w:divBdr>
        <w:top w:val="none" w:sz="0" w:space="0" w:color="auto"/>
        <w:left w:val="none" w:sz="0" w:space="0" w:color="auto"/>
        <w:bottom w:val="none" w:sz="0" w:space="0" w:color="auto"/>
        <w:right w:val="none" w:sz="0" w:space="0" w:color="auto"/>
      </w:divBdr>
      <w:divsChild>
        <w:div w:id="1457336832">
          <w:marLeft w:val="0"/>
          <w:marRight w:val="0"/>
          <w:marTop w:val="0"/>
          <w:marBottom w:val="0"/>
          <w:divBdr>
            <w:top w:val="none" w:sz="0" w:space="0" w:color="auto"/>
            <w:left w:val="none" w:sz="0" w:space="0" w:color="auto"/>
            <w:bottom w:val="none" w:sz="0" w:space="0" w:color="auto"/>
            <w:right w:val="none" w:sz="0" w:space="0" w:color="auto"/>
          </w:divBdr>
          <w:divsChild>
            <w:div w:id="730811253">
              <w:marLeft w:val="0"/>
              <w:marRight w:val="0"/>
              <w:marTop w:val="0"/>
              <w:marBottom w:val="0"/>
              <w:divBdr>
                <w:top w:val="none" w:sz="0" w:space="0" w:color="auto"/>
                <w:left w:val="none" w:sz="0" w:space="0" w:color="auto"/>
                <w:bottom w:val="none" w:sz="0" w:space="0" w:color="auto"/>
                <w:right w:val="none" w:sz="0" w:space="0" w:color="auto"/>
              </w:divBdr>
              <w:divsChild>
                <w:div w:id="1337999335">
                  <w:marLeft w:val="0"/>
                  <w:marRight w:val="0"/>
                  <w:marTop w:val="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1226837306">
                          <w:marLeft w:val="0"/>
                          <w:marRight w:val="0"/>
                          <w:marTop w:val="0"/>
                          <w:marBottom w:val="0"/>
                          <w:divBdr>
                            <w:top w:val="none" w:sz="0" w:space="0" w:color="auto"/>
                            <w:left w:val="none" w:sz="0" w:space="0" w:color="auto"/>
                            <w:bottom w:val="none" w:sz="0" w:space="0" w:color="auto"/>
                            <w:right w:val="none" w:sz="0" w:space="0" w:color="auto"/>
                          </w:divBdr>
                          <w:divsChild>
                            <w:div w:id="599485483">
                              <w:marLeft w:val="0"/>
                              <w:marRight w:val="0"/>
                              <w:marTop w:val="0"/>
                              <w:marBottom w:val="0"/>
                              <w:divBdr>
                                <w:top w:val="none" w:sz="0" w:space="0" w:color="auto"/>
                                <w:left w:val="none" w:sz="0" w:space="0" w:color="auto"/>
                                <w:bottom w:val="none" w:sz="0" w:space="0" w:color="auto"/>
                                <w:right w:val="none" w:sz="0" w:space="0" w:color="auto"/>
                              </w:divBdr>
                              <w:divsChild>
                                <w:div w:id="1097554074">
                                  <w:marLeft w:val="0"/>
                                  <w:marRight w:val="0"/>
                                  <w:marTop w:val="0"/>
                                  <w:marBottom w:val="0"/>
                                  <w:divBdr>
                                    <w:top w:val="none" w:sz="0" w:space="0" w:color="auto"/>
                                    <w:left w:val="none" w:sz="0" w:space="0" w:color="auto"/>
                                    <w:bottom w:val="none" w:sz="0" w:space="0" w:color="auto"/>
                                    <w:right w:val="none" w:sz="0" w:space="0" w:color="auto"/>
                                  </w:divBdr>
                                  <w:divsChild>
                                    <w:div w:id="195193682">
                                      <w:marLeft w:val="0"/>
                                      <w:marRight w:val="0"/>
                                      <w:marTop w:val="0"/>
                                      <w:marBottom w:val="0"/>
                                      <w:divBdr>
                                        <w:top w:val="none" w:sz="0" w:space="0" w:color="auto"/>
                                        <w:left w:val="none" w:sz="0" w:space="0" w:color="auto"/>
                                        <w:bottom w:val="none" w:sz="0" w:space="0" w:color="auto"/>
                                        <w:right w:val="none" w:sz="0" w:space="0" w:color="auto"/>
                                      </w:divBdr>
                                      <w:divsChild>
                                        <w:div w:id="1945920099">
                                          <w:marLeft w:val="0"/>
                                          <w:marRight w:val="0"/>
                                          <w:marTop w:val="0"/>
                                          <w:marBottom w:val="0"/>
                                          <w:divBdr>
                                            <w:top w:val="none" w:sz="0" w:space="0" w:color="auto"/>
                                            <w:left w:val="none" w:sz="0" w:space="0" w:color="auto"/>
                                            <w:bottom w:val="none" w:sz="0" w:space="0" w:color="auto"/>
                                            <w:right w:val="none" w:sz="0" w:space="0" w:color="auto"/>
                                          </w:divBdr>
                                          <w:divsChild>
                                            <w:div w:id="115063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06349">
                          <w:marLeft w:val="0"/>
                          <w:marRight w:val="0"/>
                          <w:marTop w:val="0"/>
                          <w:marBottom w:val="0"/>
                          <w:divBdr>
                            <w:top w:val="none" w:sz="0" w:space="0" w:color="auto"/>
                            <w:left w:val="none" w:sz="0" w:space="0" w:color="auto"/>
                            <w:bottom w:val="none" w:sz="0" w:space="0" w:color="auto"/>
                            <w:right w:val="none" w:sz="0" w:space="0" w:color="auto"/>
                          </w:divBdr>
                          <w:divsChild>
                            <w:div w:id="193734011">
                              <w:marLeft w:val="0"/>
                              <w:marRight w:val="0"/>
                              <w:marTop w:val="0"/>
                              <w:marBottom w:val="0"/>
                              <w:divBdr>
                                <w:top w:val="none" w:sz="0" w:space="0" w:color="auto"/>
                                <w:left w:val="none" w:sz="0" w:space="0" w:color="auto"/>
                                <w:bottom w:val="none" w:sz="0" w:space="0" w:color="auto"/>
                                <w:right w:val="none" w:sz="0" w:space="0" w:color="auto"/>
                              </w:divBdr>
                              <w:divsChild>
                                <w:div w:id="945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278462">
          <w:marLeft w:val="0"/>
          <w:marRight w:val="0"/>
          <w:marTop w:val="0"/>
          <w:marBottom w:val="0"/>
          <w:divBdr>
            <w:top w:val="none" w:sz="0" w:space="0" w:color="auto"/>
            <w:left w:val="none" w:sz="0" w:space="0" w:color="auto"/>
            <w:bottom w:val="none" w:sz="0" w:space="0" w:color="auto"/>
            <w:right w:val="none" w:sz="0" w:space="0" w:color="auto"/>
          </w:divBdr>
          <w:divsChild>
            <w:div w:id="360589857">
              <w:marLeft w:val="0"/>
              <w:marRight w:val="0"/>
              <w:marTop w:val="0"/>
              <w:marBottom w:val="0"/>
              <w:divBdr>
                <w:top w:val="none" w:sz="0" w:space="0" w:color="auto"/>
                <w:left w:val="none" w:sz="0" w:space="0" w:color="auto"/>
                <w:bottom w:val="none" w:sz="0" w:space="0" w:color="auto"/>
                <w:right w:val="none" w:sz="0" w:space="0" w:color="auto"/>
              </w:divBdr>
              <w:divsChild>
                <w:div w:id="1828014099">
                  <w:marLeft w:val="0"/>
                  <w:marRight w:val="0"/>
                  <w:marTop w:val="0"/>
                  <w:marBottom w:val="0"/>
                  <w:divBdr>
                    <w:top w:val="none" w:sz="0" w:space="0" w:color="auto"/>
                    <w:left w:val="none" w:sz="0" w:space="0" w:color="auto"/>
                    <w:bottom w:val="none" w:sz="0" w:space="0" w:color="auto"/>
                    <w:right w:val="none" w:sz="0" w:space="0" w:color="auto"/>
                  </w:divBdr>
                  <w:divsChild>
                    <w:div w:id="345786069">
                      <w:marLeft w:val="0"/>
                      <w:marRight w:val="0"/>
                      <w:marTop w:val="0"/>
                      <w:marBottom w:val="0"/>
                      <w:divBdr>
                        <w:top w:val="none" w:sz="0" w:space="0" w:color="auto"/>
                        <w:left w:val="none" w:sz="0" w:space="0" w:color="auto"/>
                        <w:bottom w:val="none" w:sz="0" w:space="0" w:color="auto"/>
                        <w:right w:val="none" w:sz="0" w:space="0" w:color="auto"/>
                      </w:divBdr>
                      <w:divsChild>
                        <w:div w:id="1158615886">
                          <w:marLeft w:val="0"/>
                          <w:marRight w:val="0"/>
                          <w:marTop w:val="0"/>
                          <w:marBottom w:val="0"/>
                          <w:divBdr>
                            <w:top w:val="none" w:sz="0" w:space="0" w:color="auto"/>
                            <w:left w:val="none" w:sz="0" w:space="0" w:color="auto"/>
                            <w:bottom w:val="none" w:sz="0" w:space="0" w:color="auto"/>
                            <w:right w:val="none" w:sz="0" w:space="0" w:color="auto"/>
                          </w:divBdr>
                          <w:divsChild>
                            <w:div w:id="957879496">
                              <w:marLeft w:val="0"/>
                              <w:marRight w:val="0"/>
                              <w:marTop w:val="0"/>
                              <w:marBottom w:val="0"/>
                              <w:divBdr>
                                <w:top w:val="none" w:sz="0" w:space="0" w:color="auto"/>
                                <w:left w:val="none" w:sz="0" w:space="0" w:color="auto"/>
                                <w:bottom w:val="none" w:sz="0" w:space="0" w:color="auto"/>
                                <w:right w:val="none" w:sz="0" w:space="0" w:color="auto"/>
                              </w:divBdr>
                              <w:divsChild>
                                <w:div w:id="1313867301">
                                  <w:marLeft w:val="0"/>
                                  <w:marRight w:val="0"/>
                                  <w:marTop w:val="0"/>
                                  <w:marBottom w:val="0"/>
                                  <w:divBdr>
                                    <w:top w:val="none" w:sz="0" w:space="0" w:color="auto"/>
                                    <w:left w:val="none" w:sz="0" w:space="0" w:color="auto"/>
                                    <w:bottom w:val="none" w:sz="0" w:space="0" w:color="auto"/>
                                    <w:right w:val="none" w:sz="0" w:space="0" w:color="auto"/>
                                  </w:divBdr>
                                  <w:divsChild>
                                    <w:div w:id="987324968">
                                      <w:marLeft w:val="0"/>
                                      <w:marRight w:val="0"/>
                                      <w:marTop w:val="0"/>
                                      <w:marBottom w:val="0"/>
                                      <w:divBdr>
                                        <w:top w:val="none" w:sz="0" w:space="0" w:color="auto"/>
                                        <w:left w:val="none" w:sz="0" w:space="0" w:color="auto"/>
                                        <w:bottom w:val="none" w:sz="0" w:space="0" w:color="auto"/>
                                        <w:right w:val="none" w:sz="0" w:space="0" w:color="auto"/>
                                      </w:divBdr>
                                      <w:divsChild>
                                        <w:div w:id="1225336649">
                                          <w:marLeft w:val="0"/>
                                          <w:marRight w:val="0"/>
                                          <w:marTop w:val="0"/>
                                          <w:marBottom w:val="0"/>
                                          <w:divBdr>
                                            <w:top w:val="none" w:sz="0" w:space="0" w:color="auto"/>
                                            <w:left w:val="none" w:sz="0" w:space="0" w:color="auto"/>
                                            <w:bottom w:val="none" w:sz="0" w:space="0" w:color="auto"/>
                                            <w:right w:val="none" w:sz="0" w:space="0" w:color="auto"/>
                                          </w:divBdr>
                                          <w:divsChild>
                                            <w:div w:id="744568978">
                                              <w:marLeft w:val="0"/>
                                              <w:marRight w:val="0"/>
                                              <w:marTop w:val="0"/>
                                              <w:marBottom w:val="0"/>
                                              <w:divBdr>
                                                <w:top w:val="none" w:sz="0" w:space="0" w:color="auto"/>
                                                <w:left w:val="none" w:sz="0" w:space="0" w:color="auto"/>
                                                <w:bottom w:val="none" w:sz="0" w:space="0" w:color="auto"/>
                                                <w:right w:val="none" w:sz="0" w:space="0" w:color="auto"/>
                                              </w:divBdr>
                                              <w:divsChild>
                                                <w:div w:id="1458255587">
                                                  <w:marLeft w:val="0"/>
                                                  <w:marRight w:val="0"/>
                                                  <w:marTop w:val="0"/>
                                                  <w:marBottom w:val="0"/>
                                                  <w:divBdr>
                                                    <w:top w:val="none" w:sz="0" w:space="0" w:color="auto"/>
                                                    <w:left w:val="none" w:sz="0" w:space="0" w:color="auto"/>
                                                    <w:bottom w:val="none" w:sz="0" w:space="0" w:color="auto"/>
                                                    <w:right w:val="none" w:sz="0" w:space="0" w:color="auto"/>
                                                  </w:divBdr>
                                                  <w:divsChild>
                                                    <w:div w:id="83846747">
                                                      <w:marLeft w:val="0"/>
                                                      <w:marRight w:val="0"/>
                                                      <w:marTop w:val="0"/>
                                                      <w:marBottom w:val="0"/>
                                                      <w:divBdr>
                                                        <w:top w:val="none" w:sz="0" w:space="0" w:color="auto"/>
                                                        <w:left w:val="none" w:sz="0" w:space="0" w:color="auto"/>
                                                        <w:bottom w:val="none" w:sz="0" w:space="0" w:color="auto"/>
                                                        <w:right w:val="none" w:sz="0" w:space="0" w:color="auto"/>
                                                      </w:divBdr>
                                                      <w:divsChild>
                                                        <w:div w:id="1629628282">
                                                          <w:marLeft w:val="0"/>
                                                          <w:marRight w:val="0"/>
                                                          <w:marTop w:val="0"/>
                                                          <w:marBottom w:val="0"/>
                                                          <w:divBdr>
                                                            <w:top w:val="none" w:sz="0" w:space="0" w:color="auto"/>
                                                            <w:left w:val="none" w:sz="0" w:space="0" w:color="auto"/>
                                                            <w:bottom w:val="none" w:sz="0" w:space="0" w:color="auto"/>
                                                            <w:right w:val="none" w:sz="0" w:space="0" w:color="auto"/>
                                                          </w:divBdr>
                                                          <w:divsChild>
                                                            <w:div w:id="999192991">
                                                              <w:marLeft w:val="0"/>
                                                              <w:marRight w:val="0"/>
                                                              <w:marTop w:val="0"/>
                                                              <w:marBottom w:val="0"/>
                                                              <w:divBdr>
                                                                <w:top w:val="none" w:sz="0" w:space="0" w:color="auto"/>
                                                                <w:left w:val="none" w:sz="0" w:space="0" w:color="auto"/>
                                                                <w:bottom w:val="none" w:sz="0" w:space="0" w:color="auto"/>
                                                                <w:right w:val="none" w:sz="0" w:space="0" w:color="auto"/>
                                                              </w:divBdr>
                                                            </w:div>
                                                            <w:div w:id="18891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299420">
                                      <w:marLeft w:val="0"/>
                                      <w:marRight w:val="0"/>
                                      <w:marTop w:val="0"/>
                                      <w:marBottom w:val="0"/>
                                      <w:divBdr>
                                        <w:top w:val="none" w:sz="0" w:space="0" w:color="auto"/>
                                        <w:left w:val="none" w:sz="0" w:space="0" w:color="auto"/>
                                        <w:bottom w:val="none" w:sz="0" w:space="0" w:color="auto"/>
                                        <w:right w:val="none" w:sz="0" w:space="0" w:color="auto"/>
                                      </w:divBdr>
                                      <w:divsChild>
                                        <w:div w:id="10109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247364">
          <w:marLeft w:val="0"/>
          <w:marRight w:val="0"/>
          <w:marTop w:val="0"/>
          <w:marBottom w:val="0"/>
          <w:divBdr>
            <w:top w:val="none" w:sz="0" w:space="0" w:color="auto"/>
            <w:left w:val="none" w:sz="0" w:space="0" w:color="auto"/>
            <w:bottom w:val="none" w:sz="0" w:space="0" w:color="auto"/>
            <w:right w:val="none" w:sz="0" w:space="0" w:color="auto"/>
          </w:divBdr>
          <w:divsChild>
            <w:div w:id="143471421">
              <w:marLeft w:val="0"/>
              <w:marRight w:val="0"/>
              <w:marTop w:val="0"/>
              <w:marBottom w:val="0"/>
              <w:divBdr>
                <w:top w:val="none" w:sz="0" w:space="0" w:color="auto"/>
                <w:left w:val="none" w:sz="0" w:space="0" w:color="auto"/>
                <w:bottom w:val="none" w:sz="0" w:space="0" w:color="auto"/>
                <w:right w:val="none" w:sz="0" w:space="0" w:color="auto"/>
              </w:divBdr>
              <w:divsChild>
                <w:div w:id="329723517">
                  <w:marLeft w:val="0"/>
                  <w:marRight w:val="0"/>
                  <w:marTop w:val="0"/>
                  <w:marBottom w:val="0"/>
                  <w:divBdr>
                    <w:top w:val="none" w:sz="0" w:space="0" w:color="auto"/>
                    <w:left w:val="none" w:sz="0" w:space="0" w:color="auto"/>
                    <w:bottom w:val="none" w:sz="0" w:space="0" w:color="auto"/>
                    <w:right w:val="none" w:sz="0" w:space="0" w:color="auto"/>
                  </w:divBdr>
                  <w:divsChild>
                    <w:div w:id="1056783528">
                      <w:marLeft w:val="0"/>
                      <w:marRight w:val="0"/>
                      <w:marTop w:val="0"/>
                      <w:marBottom w:val="0"/>
                      <w:divBdr>
                        <w:top w:val="none" w:sz="0" w:space="0" w:color="auto"/>
                        <w:left w:val="none" w:sz="0" w:space="0" w:color="auto"/>
                        <w:bottom w:val="none" w:sz="0" w:space="0" w:color="auto"/>
                        <w:right w:val="none" w:sz="0" w:space="0" w:color="auto"/>
                      </w:divBdr>
                      <w:divsChild>
                        <w:div w:id="1529872933">
                          <w:marLeft w:val="0"/>
                          <w:marRight w:val="0"/>
                          <w:marTop w:val="0"/>
                          <w:marBottom w:val="0"/>
                          <w:divBdr>
                            <w:top w:val="none" w:sz="0" w:space="0" w:color="auto"/>
                            <w:left w:val="none" w:sz="0" w:space="0" w:color="auto"/>
                            <w:bottom w:val="none" w:sz="0" w:space="0" w:color="auto"/>
                            <w:right w:val="none" w:sz="0" w:space="0" w:color="auto"/>
                          </w:divBdr>
                          <w:divsChild>
                            <w:div w:id="505482854">
                              <w:marLeft w:val="0"/>
                              <w:marRight w:val="0"/>
                              <w:marTop w:val="0"/>
                              <w:marBottom w:val="0"/>
                              <w:divBdr>
                                <w:top w:val="none" w:sz="0" w:space="0" w:color="auto"/>
                                <w:left w:val="none" w:sz="0" w:space="0" w:color="auto"/>
                                <w:bottom w:val="none" w:sz="0" w:space="0" w:color="auto"/>
                                <w:right w:val="none" w:sz="0" w:space="0" w:color="auto"/>
                              </w:divBdr>
                              <w:divsChild>
                                <w:div w:id="564993337">
                                  <w:marLeft w:val="0"/>
                                  <w:marRight w:val="0"/>
                                  <w:marTop w:val="0"/>
                                  <w:marBottom w:val="0"/>
                                  <w:divBdr>
                                    <w:top w:val="none" w:sz="0" w:space="0" w:color="auto"/>
                                    <w:left w:val="none" w:sz="0" w:space="0" w:color="auto"/>
                                    <w:bottom w:val="none" w:sz="0" w:space="0" w:color="auto"/>
                                    <w:right w:val="none" w:sz="0" w:space="0" w:color="auto"/>
                                  </w:divBdr>
                                  <w:divsChild>
                                    <w:div w:id="21096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7793">
          <w:marLeft w:val="0"/>
          <w:marRight w:val="0"/>
          <w:marTop w:val="0"/>
          <w:marBottom w:val="0"/>
          <w:divBdr>
            <w:top w:val="none" w:sz="0" w:space="0" w:color="auto"/>
            <w:left w:val="none" w:sz="0" w:space="0" w:color="auto"/>
            <w:bottom w:val="none" w:sz="0" w:space="0" w:color="auto"/>
            <w:right w:val="none" w:sz="0" w:space="0" w:color="auto"/>
          </w:divBdr>
          <w:divsChild>
            <w:div w:id="1301807794">
              <w:marLeft w:val="0"/>
              <w:marRight w:val="0"/>
              <w:marTop w:val="0"/>
              <w:marBottom w:val="0"/>
              <w:divBdr>
                <w:top w:val="none" w:sz="0" w:space="0" w:color="auto"/>
                <w:left w:val="none" w:sz="0" w:space="0" w:color="auto"/>
                <w:bottom w:val="none" w:sz="0" w:space="0" w:color="auto"/>
                <w:right w:val="none" w:sz="0" w:space="0" w:color="auto"/>
              </w:divBdr>
              <w:divsChild>
                <w:div w:id="753162058">
                  <w:marLeft w:val="0"/>
                  <w:marRight w:val="0"/>
                  <w:marTop w:val="0"/>
                  <w:marBottom w:val="0"/>
                  <w:divBdr>
                    <w:top w:val="none" w:sz="0" w:space="0" w:color="auto"/>
                    <w:left w:val="none" w:sz="0" w:space="0" w:color="auto"/>
                    <w:bottom w:val="none" w:sz="0" w:space="0" w:color="auto"/>
                    <w:right w:val="none" w:sz="0" w:space="0" w:color="auto"/>
                  </w:divBdr>
                  <w:divsChild>
                    <w:div w:id="2036806537">
                      <w:marLeft w:val="0"/>
                      <w:marRight w:val="0"/>
                      <w:marTop w:val="0"/>
                      <w:marBottom w:val="0"/>
                      <w:divBdr>
                        <w:top w:val="none" w:sz="0" w:space="0" w:color="auto"/>
                        <w:left w:val="none" w:sz="0" w:space="0" w:color="auto"/>
                        <w:bottom w:val="none" w:sz="0" w:space="0" w:color="auto"/>
                        <w:right w:val="none" w:sz="0" w:space="0" w:color="auto"/>
                      </w:divBdr>
                      <w:divsChild>
                        <w:div w:id="467942197">
                          <w:marLeft w:val="0"/>
                          <w:marRight w:val="0"/>
                          <w:marTop w:val="0"/>
                          <w:marBottom w:val="0"/>
                          <w:divBdr>
                            <w:top w:val="none" w:sz="0" w:space="0" w:color="auto"/>
                            <w:left w:val="none" w:sz="0" w:space="0" w:color="auto"/>
                            <w:bottom w:val="none" w:sz="0" w:space="0" w:color="auto"/>
                            <w:right w:val="none" w:sz="0" w:space="0" w:color="auto"/>
                          </w:divBdr>
                          <w:divsChild>
                            <w:div w:id="336544950">
                              <w:marLeft w:val="0"/>
                              <w:marRight w:val="0"/>
                              <w:marTop w:val="0"/>
                              <w:marBottom w:val="0"/>
                              <w:divBdr>
                                <w:top w:val="none" w:sz="0" w:space="0" w:color="auto"/>
                                <w:left w:val="none" w:sz="0" w:space="0" w:color="auto"/>
                                <w:bottom w:val="none" w:sz="0" w:space="0" w:color="auto"/>
                                <w:right w:val="none" w:sz="0" w:space="0" w:color="auto"/>
                              </w:divBdr>
                              <w:divsChild>
                                <w:div w:id="1273324588">
                                  <w:marLeft w:val="0"/>
                                  <w:marRight w:val="0"/>
                                  <w:marTop w:val="0"/>
                                  <w:marBottom w:val="0"/>
                                  <w:divBdr>
                                    <w:top w:val="none" w:sz="0" w:space="0" w:color="auto"/>
                                    <w:left w:val="none" w:sz="0" w:space="0" w:color="auto"/>
                                    <w:bottom w:val="none" w:sz="0" w:space="0" w:color="auto"/>
                                    <w:right w:val="none" w:sz="0" w:space="0" w:color="auto"/>
                                  </w:divBdr>
                                  <w:divsChild>
                                    <w:div w:id="350030964">
                                      <w:marLeft w:val="0"/>
                                      <w:marRight w:val="0"/>
                                      <w:marTop w:val="0"/>
                                      <w:marBottom w:val="0"/>
                                      <w:divBdr>
                                        <w:top w:val="none" w:sz="0" w:space="0" w:color="auto"/>
                                        <w:left w:val="none" w:sz="0" w:space="0" w:color="auto"/>
                                        <w:bottom w:val="none" w:sz="0" w:space="0" w:color="auto"/>
                                        <w:right w:val="none" w:sz="0" w:space="0" w:color="auto"/>
                                      </w:divBdr>
                                      <w:divsChild>
                                        <w:div w:id="527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714991">
          <w:marLeft w:val="0"/>
          <w:marRight w:val="0"/>
          <w:marTop w:val="0"/>
          <w:marBottom w:val="0"/>
          <w:divBdr>
            <w:top w:val="none" w:sz="0" w:space="0" w:color="auto"/>
            <w:left w:val="none" w:sz="0" w:space="0" w:color="auto"/>
            <w:bottom w:val="none" w:sz="0" w:space="0" w:color="auto"/>
            <w:right w:val="none" w:sz="0" w:space="0" w:color="auto"/>
          </w:divBdr>
          <w:divsChild>
            <w:div w:id="361370042">
              <w:marLeft w:val="0"/>
              <w:marRight w:val="0"/>
              <w:marTop w:val="0"/>
              <w:marBottom w:val="0"/>
              <w:divBdr>
                <w:top w:val="none" w:sz="0" w:space="0" w:color="auto"/>
                <w:left w:val="none" w:sz="0" w:space="0" w:color="auto"/>
                <w:bottom w:val="none" w:sz="0" w:space="0" w:color="auto"/>
                <w:right w:val="none" w:sz="0" w:space="0" w:color="auto"/>
              </w:divBdr>
              <w:divsChild>
                <w:div w:id="146095416">
                  <w:marLeft w:val="0"/>
                  <w:marRight w:val="0"/>
                  <w:marTop w:val="0"/>
                  <w:marBottom w:val="0"/>
                  <w:divBdr>
                    <w:top w:val="none" w:sz="0" w:space="0" w:color="auto"/>
                    <w:left w:val="none" w:sz="0" w:space="0" w:color="auto"/>
                    <w:bottom w:val="none" w:sz="0" w:space="0" w:color="auto"/>
                    <w:right w:val="none" w:sz="0" w:space="0" w:color="auto"/>
                  </w:divBdr>
                  <w:divsChild>
                    <w:div w:id="820928572">
                      <w:marLeft w:val="0"/>
                      <w:marRight w:val="0"/>
                      <w:marTop w:val="0"/>
                      <w:marBottom w:val="0"/>
                      <w:divBdr>
                        <w:top w:val="none" w:sz="0" w:space="0" w:color="auto"/>
                        <w:left w:val="none" w:sz="0" w:space="0" w:color="auto"/>
                        <w:bottom w:val="none" w:sz="0" w:space="0" w:color="auto"/>
                        <w:right w:val="none" w:sz="0" w:space="0" w:color="auto"/>
                      </w:divBdr>
                      <w:divsChild>
                        <w:div w:id="988094144">
                          <w:marLeft w:val="0"/>
                          <w:marRight w:val="0"/>
                          <w:marTop w:val="0"/>
                          <w:marBottom w:val="0"/>
                          <w:divBdr>
                            <w:top w:val="none" w:sz="0" w:space="0" w:color="auto"/>
                            <w:left w:val="none" w:sz="0" w:space="0" w:color="auto"/>
                            <w:bottom w:val="none" w:sz="0" w:space="0" w:color="auto"/>
                            <w:right w:val="none" w:sz="0" w:space="0" w:color="auto"/>
                          </w:divBdr>
                          <w:divsChild>
                            <w:div w:id="1929843132">
                              <w:marLeft w:val="0"/>
                              <w:marRight w:val="0"/>
                              <w:marTop w:val="0"/>
                              <w:marBottom w:val="0"/>
                              <w:divBdr>
                                <w:top w:val="none" w:sz="0" w:space="0" w:color="auto"/>
                                <w:left w:val="none" w:sz="0" w:space="0" w:color="auto"/>
                                <w:bottom w:val="none" w:sz="0" w:space="0" w:color="auto"/>
                                <w:right w:val="none" w:sz="0" w:space="0" w:color="auto"/>
                              </w:divBdr>
                              <w:divsChild>
                                <w:div w:id="205220134">
                                  <w:marLeft w:val="0"/>
                                  <w:marRight w:val="0"/>
                                  <w:marTop w:val="0"/>
                                  <w:marBottom w:val="0"/>
                                  <w:divBdr>
                                    <w:top w:val="none" w:sz="0" w:space="0" w:color="auto"/>
                                    <w:left w:val="none" w:sz="0" w:space="0" w:color="auto"/>
                                    <w:bottom w:val="none" w:sz="0" w:space="0" w:color="auto"/>
                                    <w:right w:val="none" w:sz="0" w:space="0" w:color="auto"/>
                                  </w:divBdr>
                                  <w:divsChild>
                                    <w:div w:id="20353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2450">
                              <w:marLeft w:val="0"/>
                              <w:marRight w:val="0"/>
                              <w:marTop w:val="0"/>
                              <w:marBottom w:val="0"/>
                              <w:divBdr>
                                <w:top w:val="none" w:sz="0" w:space="0" w:color="auto"/>
                                <w:left w:val="none" w:sz="0" w:space="0" w:color="auto"/>
                                <w:bottom w:val="none" w:sz="0" w:space="0" w:color="auto"/>
                                <w:right w:val="none" w:sz="0" w:space="0" w:color="auto"/>
                              </w:divBdr>
                            </w:div>
                            <w:div w:id="10449052">
                              <w:marLeft w:val="0"/>
                              <w:marRight w:val="0"/>
                              <w:marTop w:val="0"/>
                              <w:marBottom w:val="0"/>
                              <w:divBdr>
                                <w:top w:val="none" w:sz="0" w:space="0" w:color="auto"/>
                                <w:left w:val="none" w:sz="0" w:space="0" w:color="auto"/>
                                <w:bottom w:val="none" w:sz="0" w:space="0" w:color="auto"/>
                                <w:right w:val="none" w:sz="0" w:space="0" w:color="auto"/>
                              </w:divBdr>
                              <w:divsChild>
                                <w:div w:id="475340485">
                                  <w:marLeft w:val="0"/>
                                  <w:marRight w:val="0"/>
                                  <w:marTop w:val="0"/>
                                  <w:marBottom w:val="0"/>
                                  <w:divBdr>
                                    <w:top w:val="none" w:sz="0" w:space="0" w:color="auto"/>
                                    <w:left w:val="none" w:sz="0" w:space="0" w:color="auto"/>
                                    <w:bottom w:val="none" w:sz="0" w:space="0" w:color="auto"/>
                                    <w:right w:val="none" w:sz="0" w:space="0" w:color="auto"/>
                                  </w:divBdr>
                                  <w:divsChild>
                                    <w:div w:id="461195747">
                                      <w:marLeft w:val="0"/>
                                      <w:marRight w:val="0"/>
                                      <w:marTop w:val="0"/>
                                      <w:marBottom w:val="0"/>
                                      <w:divBdr>
                                        <w:top w:val="none" w:sz="0" w:space="0" w:color="auto"/>
                                        <w:left w:val="none" w:sz="0" w:space="0" w:color="auto"/>
                                        <w:bottom w:val="none" w:sz="0" w:space="0" w:color="auto"/>
                                        <w:right w:val="none" w:sz="0" w:space="0" w:color="auto"/>
                                      </w:divBdr>
                                    </w:div>
                                  </w:divsChild>
                                </w:div>
                                <w:div w:id="1117140689">
                                  <w:marLeft w:val="0"/>
                                  <w:marRight w:val="0"/>
                                  <w:marTop w:val="0"/>
                                  <w:marBottom w:val="0"/>
                                  <w:divBdr>
                                    <w:top w:val="none" w:sz="0" w:space="0" w:color="auto"/>
                                    <w:left w:val="none" w:sz="0" w:space="0" w:color="auto"/>
                                    <w:bottom w:val="none" w:sz="0" w:space="0" w:color="auto"/>
                                    <w:right w:val="none" w:sz="0" w:space="0" w:color="auto"/>
                                  </w:divBdr>
                                  <w:divsChild>
                                    <w:div w:id="1270353736">
                                      <w:marLeft w:val="0"/>
                                      <w:marRight w:val="0"/>
                                      <w:marTop w:val="0"/>
                                      <w:marBottom w:val="0"/>
                                      <w:divBdr>
                                        <w:top w:val="none" w:sz="0" w:space="0" w:color="auto"/>
                                        <w:left w:val="none" w:sz="0" w:space="0" w:color="auto"/>
                                        <w:bottom w:val="none" w:sz="0" w:space="0" w:color="auto"/>
                                        <w:right w:val="none" w:sz="0" w:space="0" w:color="auto"/>
                                      </w:divBdr>
                                      <w:divsChild>
                                        <w:div w:id="18306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8E34C-198F-4C66-B981-B0C1F500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22</Pages>
  <Words>8297</Words>
  <Characters>47295</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 Qamese</dc:creator>
  <cp:keywords/>
  <dc:description/>
  <cp:lastModifiedBy>Apiseta Eti</cp:lastModifiedBy>
  <cp:revision>17</cp:revision>
  <dcterms:created xsi:type="dcterms:W3CDTF">2025-05-16T02:55:00Z</dcterms:created>
  <dcterms:modified xsi:type="dcterms:W3CDTF">2025-05-23T02:52:00Z</dcterms:modified>
</cp:coreProperties>
</file>