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814D" w14:textId="427B4BFD" w:rsidR="006805DF" w:rsidRDefault="004535C0" w:rsidP="00D5181F">
      <w:pPr>
        <w:jc w:val="center"/>
        <w:rPr>
          <w:b/>
          <w:bCs/>
          <w:sz w:val="28"/>
          <w:szCs w:val="28"/>
          <w:u w:val="single"/>
        </w:rPr>
      </w:pPr>
      <w:r w:rsidRPr="00C57D65">
        <w:rPr>
          <w:b/>
          <w:bCs/>
          <w:sz w:val="28"/>
          <w:szCs w:val="28"/>
          <w:u w:val="single"/>
        </w:rPr>
        <w:t>RFT: 202</w:t>
      </w:r>
      <w:r w:rsidR="00693793" w:rsidRPr="00C57D65">
        <w:rPr>
          <w:b/>
          <w:bCs/>
          <w:sz w:val="28"/>
          <w:szCs w:val="28"/>
          <w:u w:val="single"/>
        </w:rPr>
        <w:t>3</w:t>
      </w:r>
      <w:r w:rsidRPr="00C57D65">
        <w:rPr>
          <w:b/>
          <w:bCs/>
          <w:sz w:val="28"/>
          <w:szCs w:val="28"/>
          <w:u w:val="single"/>
        </w:rPr>
        <w:t>/</w:t>
      </w:r>
      <w:r w:rsidR="00C57D65" w:rsidRPr="00C57D65">
        <w:rPr>
          <w:b/>
          <w:bCs/>
          <w:sz w:val="28"/>
          <w:szCs w:val="28"/>
          <w:u w:val="single"/>
        </w:rPr>
        <w:t>055</w:t>
      </w:r>
      <w:r w:rsidR="00177657" w:rsidRPr="00C57D65">
        <w:rPr>
          <w:b/>
          <w:bCs/>
          <w:sz w:val="28"/>
          <w:szCs w:val="28"/>
          <w:u w:val="single"/>
        </w:rPr>
        <w:t xml:space="preserve"> </w:t>
      </w:r>
      <w:r w:rsidR="00D5181F" w:rsidRPr="00C57D65">
        <w:rPr>
          <w:b/>
          <w:bCs/>
          <w:sz w:val="28"/>
          <w:szCs w:val="28"/>
          <w:u w:val="single"/>
        </w:rPr>
        <w:t>–</w:t>
      </w:r>
      <w:r w:rsidRPr="00C57D65">
        <w:rPr>
          <w:b/>
          <w:bCs/>
          <w:sz w:val="28"/>
          <w:szCs w:val="28"/>
          <w:u w:val="single"/>
        </w:rPr>
        <w:t xml:space="preserve"> </w:t>
      </w:r>
      <w:r w:rsidR="006805DF" w:rsidRPr="00C57D65">
        <w:rPr>
          <w:b/>
          <w:bCs/>
          <w:sz w:val="28"/>
          <w:szCs w:val="28"/>
          <w:u w:val="single"/>
        </w:rPr>
        <w:t>Supply of a second-hand backhoe loader for the waste</w:t>
      </w:r>
      <w:r w:rsidR="006805DF" w:rsidRPr="006805DF">
        <w:rPr>
          <w:b/>
          <w:bCs/>
          <w:sz w:val="28"/>
          <w:szCs w:val="28"/>
          <w:u w:val="single"/>
        </w:rPr>
        <w:t xml:space="preserve"> disposal site at Gizo, Solomon Islands</w:t>
      </w:r>
      <w:r w:rsidR="006805DF" w:rsidRPr="00D5181F">
        <w:rPr>
          <w:b/>
          <w:bCs/>
          <w:sz w:val="28"/>
          <w:szCs w:val="28"/>
          <w:u w:val="single"/>
        </w:rPr>
        <w:t xml:space="preserve"> </w:t>
      </w:r>
    </w:p>
    <w:p w14:paraId="615EBD12" w14:textId="7335CC2C" w:rsidR="00D5181F" w:rsidRPr="00D5181F" w:rsidRDefault="00D5181F" w:rsidP="004B66F6">
      <w:pPr>
        <w:ind w:right="-46"/>
        <w:jc w:val="center"/>
        <w:rPr>
          <w:b/>
          <w:bCs/>
          <w:sz w:val="28"/>
          <w:szCs w:val="28"/>
          <w:u w:val="single"/>
          <w:lang w:val="en-GB"/>
        </w:rPr>
      </w:pPr>
    </w:p>
    <w:p w14:paraId="76AB2256" w14:textId="0BC37D6A" w:rsidR="004B66F6" w:rsidRDefault="00937A1B" w:rsidP="006B6CC1">
      <w:pPr>
        <w:ind w:left="567" w:right="8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ANNEXE B: </w:t>
      </w:r>
      <w:r w:rsidR="004B66F6">
        <w:rPr>
          <w:sz w:val="28"/>
          <w:szCs w:val="28"/>
        </w:rPr>
        <w:t>FINANCIAL PROPOSAL FORM</w:t>
      </w:r>
    </w:p>
    <w:p w14:paraId="7FD7A84A" w14:textId="77777777" w:rsidR="00D5181F" w:rsidRDefault="00D5181F" w:rsidP="006B6CC1">
      <w:pPr>
        <w:ind w:left="567" w:right="827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5"/>
        <w:gridCol w:w="2501"/>
      </w:tblGrid>
      <w:tr w:rsidR="00D5181F" w14:paraId="0E2E9BCF" w14:textId="77777777" w:rsidTr="00D5181F">
        <w:trPr>
          <w:trHeight w:val="347"/>
        </w:trPr>
        <w:tc>
          <w:tcPr>
            <w:tcW w:w="6515" w:type="dxa"/>
            <w:shd w:val="clear" w:color="auto" w:fill="0070C0"/>
            <w:vAlign w:val="center"/>
          </w:tcPr>
          <w:p w14:paraId="051C6DDB" w14:textId="77777777" w:rsidR="00D5181F" w:rsidRPr="00D858B5" w:rsidRDefault="00D5181F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proofErr w:type="spellStart"/>
            <w:r w:rsidRPr="00D858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ask</w:t>
            </w:r>
            <w:proofErr w:type="spellEnd"/>
          </w:p>
        </w:tc>
        <w:tc>
          <w:tcPr>
            <w:tcW w:w="2501" w:type="dxa"/>
            <w:shd w:val="clear" w:color="auto" w:fill="0070C0"/>
            <w:vAlign w:val="center"/>
          </w:tcPr>
          <w:p w14:paraId="2EAF17BE" w14:textId="1830D66E" w:rsidR="00D5181F" w:rsidRPr="00D858B5" w:rsidRDefault="00D5181F" w:rsidP="00B86EA7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858B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Montant</w:t>
            </w:r>
            <w:r w:rsidR="00423F4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 xml:space="preserve"> (USD)</w:t>
            </w:r>
          </w:p>
        </w:tc>
      </w:tr>
      <w:tr w:rsidR="00D5181F" w:rsidRPr="007C35CE" w14:paraId="233AC80D" w14:textId="77777777" w:rsidTr="00423F4F">
        <w:trPr>
          <w:trHeight w:val="422"/>
        </w:trPr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2D1C0820" w14:textId="4A8CD897" w:rsidR="00D5181F" w:rsidRPr="00423F4F" w:rsidRDefault="00423F4F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Supply of a second-hand </w:t>
            </w:r>
            <w:r w:rsidRPr="00423F4F">
              <w:rPr>
                <w:rFonts w:ascii="Arial" w:hAnsi="Arial" w:cs="Arial"/>
                <w:sz w:val="20"/>
                <w:szCs w:val="20"/>
              </w:rPr>
              <w:t>4WD Backhoe loader</w:t>
            </w:r>
            <w:r>
              <w:rPr>
                <w:rFonts w:ascii="Arial" w:hAnsi="Arial" w:cs="Arial"/>
                <w:sz w:val="20"/>
                <w:szCs w:val="20"/>
              </w:rPr>
              <w:t xml:space="preserve"> in accordance with the requirements set out in the Terms of Reference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14:paraId="277088BF" w14:textId="631972CF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14:paraId="0CEDAD9B" w14:textId="77777777" w:rsidTr="00423F4F">
        <w:trPr>
          <w:trHeight w:val="414"/>
        </w:trPr>
        <w:tc>
          <w:tcPr>
            <w:tcW w:w="6515" w:type="dxa"/>
            <w:tcBorders>
              <w:bottom w:val="nil"/>
            </w:tcBorders>
            <w:vAlign w:val="center"/>
          </w:tcPr>
          <w:p w14:paraId="21196B33" w14:textId="42CF9334" w:rsidR="00D5181F" w:rsidRPr="00423F4F" w:rsidRDefault="00423F4F" w:rsidP="00B86EA7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23F4F">
              <w:rPr>
                <w:rFonts w:ascii="Arial" w:hAnsi="Arial" w:cs="Arial"/>
                <w:sz w:val="20"/>
                <w:szCs w:val="20"/>
              </w:rPr>
              <w:t>Spare parts and Accessories as detailed by Purchaser and recommended by Bidder</w:t>
            </w:r>
          </w:p>
        </w:tc>
        <w:tc>
          <w:tcPr>
            <w:tcW w:w="2501" w:type="dxa"/>
            <w:tcBorders>
              <w:bottom w:val="nil"/>
            </w:tcBorders>
            <w:vAlign w:val="center"/>
          </w:tcPr>
          <w:p w14:paraId="67323A26" w14:textId="185E007C" w:rsidR="00D5181F" w:rsidRPr="007C35CE" w:rsidRDefault="00D5181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181F" w14:paraId="417E0E0D" w14:textId="77777777" w:rsidTr="00423F4F">
        <w:trPr>
          <w:trHeight w:val="414"/>
        </w:trPr>
        <w:tc>
          <w:tcPr>
            <w:tcW w:w="6515" w:type="dxa"/>
            <w:tcBorders>
              <w:top w:val="nil"/>
              <w:bottom w:val="nil"/>
            </w:tcBorders>
            <w:vAlign w:val="center"/>
          </w:tcPr>
          <w:p w14:paraId="02B75B45" w14:textId="18D4AB67" w:rsidR="00D5181F" w:rsidRPr="00423F4F" w:rsidRDefault="00423F4F" w:rsidP="00423F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23F4F">
              <w:rPr>
                <w:rFonts w:ascii="Arial" w:hAnsi="Arial" w:cs="Arial"/>
                <w:sz w:val="20"/>
                <w:szCs w:val="20"/>
              </w:rPr>
              <w:t>Three (3) full sets of primary and secondary filter elements (air and hydraulic oil) for hydraulic system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14:paraId="4F350E9A" w14:textId="37E9B87B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:rsidRPr="007C35CE" w14:paraId="2377F304" w14:textId="77777777" w:rsidTr="00423F4F">
        <w:trPr>
          <w:trHeight w:val="421"/>
        </w:trPr>
        <w:tc>
          <w:tcPr>
            <w:tcW w:w="6515" w:type="dxa"/>
            <w:tcBorders>
              <w:top w:val="nil"/>
              <w:bottom w:val="nil"/>
            </w:tcBorders>
            <w:vAlign w:val="center"/>
          </w:tcPr>
          <w:p w14:paraId="1529D912" w14:textId="59F9BFCD" w:rsidR="00D5181F" w:rsidRPr="00423F4F" w:rsidRDefault="00423F4F" w:rsidP="00423F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23F4F">
              <w:rPr>
                <w:rFonts w:ascii="Arial" w:hAnsi="Arial" w:cs="Arial"/>
                <w:sz w:val="20"/>
                <w:szCs w:val="20"/>
              </w:rPr>
              <w:t>Two (2) full sets of replacement drive belts, including but not limited to cooling fan, air conditioner, power steering and alternator. All belts to be marketed and numbered.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14:paraId="01793F24" w14:textId="7D0C7264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:rsidRPr="007C35CE" w14:paraId="4BD39A72" w14:textId="77777777" w:rsidTr="00423F4F">
        <w:trPr>
          <w:trHeight w:val="413"/>
        </w:trPr>
        <w:tc>
          <w:tcPr>
            <w:tcW w:w="6515" w:type="dxa"/>
            <w:tcBorders>
              <w:top w:val="nil"/>
              <w:bottom w:val="nil"/>
            </w:tcBorders>
            <w:vAlign w:val="center"/>
          </w:tcPr>
          <w:p w14:paraId="4BB29700" w14:textId="1D5EFEB9" w:rsidR="00D5181F" w:rsidRPr="00423F4F" w:rsidRDefault="00423F4F" w:rsidP="00423F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23F4F">
              <w:rPr>
                <w:rFonts w:ascii="Arial" w:hAnsi="Arial" w:cs="Arial"/>
                <w:sz w:val="20"/>
                <w:szCs w:val="20"/>
              </w:rPr>
              <w:t>Four (4) full sets of hydraulic hoses including fittings, marked and numbered.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14:paraId="1D57C956" w14:textId="618D5632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:rsidRPr="007C35CE" w14:paraId="638DB2BF" w14:textId="77777777" w:rsidTr="00423F4F">
        <w:trPr>
          <w:trHeight w:val="419"/>
        </w:trPr>
        <w:tc>
          <w:tcPr>
            <w:tcW w:w="6515" w:type="dxa"/>
            <w:tcBorders>
              <w:top w:val="nil"/>
              <w:bottom w:val="nil"/>
            </w:tcBorders>
            <w:vAlign w:val="center"/>
          </w:tcPr>
          <w:p w14:paraId="0FD8D5B8" w14:textId="72C9166D" w:rsidR="00D5181F" w:rsidRPr="00423F4F" w:rsidRDefault="00423F4F" w:rsidP="00423F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23F4F">
              <w:rPr>
                <w:rFonts w:ascii="Arial" w:hAnsi="Arial" w:cs="Arial"/>
                <w:sz w:val="20"/>
                <w:szCs w:val="20"/>
              </w:rPr>
              <w:t xml:space="preserve">Three (3) full engine service kits to supply all service parts for the first three (3) scheduled services, including all filters (fuel and oil), sump plugs and seals. 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14:paraId="0C8BA034" w14:textId="06309D5A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:rsidRPr="007C35CE" w14:paraId="5C39FA96" w14:textId="77777777" w:rsidTr="00423F4F">
        <w:trPr>
          <w:trHeight w:val="419"/>
        </w:trPr>
        <w:tc>
          <w:tcPr>
            <w:tcW w:w="6515" w:type="dxa"/>
            <w:tcBorders>
              <w:top w:val="nil"/>
              <w:bottom w:val="nil"/>
            </w:tcBorders>
            <w:vAlign w:val="center"/>
          </w:tcPr>
          <w:p w14:paraId="4E0F2AA5" w14:textId="04F58F82" w:rsidR="00D5181F" w:rsidRPr="00423F4F" w:rsidRDefault="00423F4F" w:rsidP="00423F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23F4F">
              <w:rPr>
                <w:rFonts w:ascii="Arial" w:hAnsi="Arial" w:cs="Arial"/>
                <w:sz w:val="20"/>
                <w:szCs w:val="20"/>
              </w:rPr>
              <w:t xml:space="preserve">One (1) set of all brake and clutch wear items, </w:t>
            </w:r>
            <w:proofErr w:type="gramStart"/>
            <w:r w:rsidRPr="00423F4F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423F4F">
              <w:rPr>
                <w:rFonts w:ascii="Arial" w:hAnsi="Arial" w:cs="Arial"/>
                <w:sz w:val="20"/>
                <w:szCs w:val="20"/>
              </w:rPr>
              <w:t xml:space="preserve"> brake shoes / discs wear pads and seals 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14:paraId="36E3CCF1" w14:textId="1211295D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:rsidRPr="007C35CE" w14:paraId="15DFDAA3" w14:textId="77777777" w:rsidTr="00423F4F">
        <w:trPr>
          <w:trHeight w:val="419"/>
        </w:trPr>
        <w:tc>
          <w:tcPr>
            <w:tcW w:w="6515" w:type="dxa"/>
            <w:tcBorders>
              <w:top w:val="nil"/>
              <w:bottom w:val="nil"/>
            </w:tcBorders>
            <w:vAlign w:val="center"/>
          </w:tcPr>
          <w:p w14:paraId="23C80817" w14:textId="7C8FF11E" w:rsidR="00D5181F" w:rsidRPr="00423F4F" w:rsidRDefault="00423F4F" w:rsidP="00423F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23F4F">
              <w:rPr>
                <w:rFonts w:ascii="Arial" w:hAnsi="Arial" w:cs="Arial"/>
                <w:sz w:val="20"/>
                <w:szCs w:val="20"/>
              </w:rPr>
              <w:t xml:space="preserve">One (1) full set of piston seals for all hydraulic cylinders including fittings, </w:t>
            </w:r>
            <w:proofErr w:type="gramStart"/>
            <w:r w:rsidRPr="00423F4F">
              <w:rPr>
                <w:rFonts w:ascii="Arial" w:hAnsi="Arial" w:cs="Arial"/>
                <w:sz w:val="20"/>
                <w:szCs w:val="20"/>
              </w:rPr>
              <w:t>marked</w:t>
            </w:r>
            <w:proofErr w:type="gramEnd"/>
            <w:r w:rsidRPr="00423F4F">
              <w:rPr>
                <w:rFonts w:ascii="Arial" w:hAnsi="Arial" w:cs="Arial"/>
                <w:sz w:val="20"/>
                <w:szCs w:val="20"/>
              </w:rPr>
              <w:t xml:space="preserve"> and numbered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14:paraId="4BEB1DB7" w14:textId="376C99F2" w:rsidR="00D5181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423F4F" w:rsidRPr="007C35CE" w14:paraId="33F16E27" w14:textId="77777777" w:rsidTr="00423F4F">
        <w:trPr>
          <w:trHeight w:val="419"/>
        </w:trPr>
        <w:tc>
          <w:tcPr>
            <w:tcW w:w="6515" w:type="dxa"/>
            <w:tcBorders>
              <w:top w:val="nil"/>
            </w:tcBorders>
            <w:vAlign w:val="center"/>
          </w:tcPr>
          <w:p w14:paraId="326DF05B" w14:textId="1593178F" w:rsidR="00423F4F" w:rsidRPr="00BD5BAD" w:rsidRDefault="00423F4F" w:rsidP="00423F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96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(to be listed and justified</w:t>
            </w:r>
            <w:r w:rsidR="00383DEC">
              <w:rPr>
                <w:rFonts w:ascii="Arial" w:hAnsi="Arial" w:cs="Arial"/>
                <w:sz w:val="20"/>
                <w:szCs w:val="20"/>
              </w:rPr>
              <w:t>, if any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01" w:type="dxa"/>
            <w:tcBorders>
              <w:top w:val="nil"/>
            </w:tcBorders>
            <w:vAlign w:val="center"/>
          </w:tcPr>
          <w:p w14:paraId="3EAAA7BA" w14:textId="5C5AA57D" w:rsidR="00423F4F" w:rsidRPr="007C35CE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423F4F" w:rsidRPr="007C35CE" w14:paraId="6A12EB3D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18E90D7C" w14:textId="7327CB1A" w:rsidR="00423F4F" w:rsidRPr="00423F4F" w:rsidRDefault="00423F4F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Shipping / freight Fees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vAlign w:val="center"/>
          </w:tcPr>
          <w:p w14:paraId="3FB6FCF4" w14:textId="1EDFF42E" w:rsidR="00423F4F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423F4F" w:rsidRPr="007C35CE" w14:paraId="0E11AE56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3773966C" w14:textId="14F31A3F" w:rsidR="00423F4F" w:rsidRDefault="00423F4F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Pr="00852CAD">
              <w:rPr>
                <w:rFonts w:ascii="Arial" w:hAnsi="Arial" w:cs="Arial"/>
                <w:color w:val="000000"/>
                <w:sz w:val="20"/>
                <w:szCs w:val="20"/>
              </w:rPr>
              <w:t>andling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costs</w:t>
            </w:r>
            <w:r w:rsidRPr="00852CAD">
              <w:rPr>
                <w:rFonts w:ascii="Arial" w:hAnsi="Arial" w:cs="Arial"/>
                <w:color w:val="000000"/>
                <w:sz w:val="20"/>
                <w:szCs w:val="20"/>
              </w:rPr>
              <w:t xml:space="preserve"> from point of procurement to the assigned destination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commissioning fees</w:t>
            </w:r>
          </w:p>
        </w:tc>
        <w:tc>
          <w:tcPr>
            <w:tcW w:w="2501" w:type="dxa"/>
            <w:vAlign w:val="center"/>
          </w:tcPr>
          <w:p w14:paraId="685E8B44" w14:textId="065A6B35" w:rsidR="00423F4F" w:rsidRDefault="00423F4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423F4F" w:rsidRPr="007C35CE" w14:paraId="3F87691F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43A45424" w14:textId="19B47337" w:rsidR="00423F4F" w:rsidRDefault="00423F4F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F4F">
              <w:rPr>
                <w:rFonts w:ascii="Arial" w:hAnsi="Arial" w:cs="Arial"/>
                <w:color w:val="000000"/>
                <w:sz w:val="20"/>
                <w:szCs w:val="20"/>
              </w:rPr>
              <w:t>Operators’ training and Service/Operation Manuals</w:t>
            </w:r>
          </w:p>
        </w:tc>
        <w:tc>
          <w:tcPr>
            <w:tcW w:w="2501" w:type="dxa"/>
            <w:vAlign w:val="center"/>
          </w:tcPr>
          <w:p w14:paraId="123CBF66" w14:textId="3111F3C7" w:rsidR="00423F4F" w:rsidRDefault="00D12337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8C3B6C" w:rsidRPr="007C35CE" w14:paraId="4F7E3B1C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0FE998A2" w14:textId="0E292FFA" w:rsidR="008C3B6C" w:rsidRPr="00423F4F" w:rsidRDefault="008C3B6C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Six-month warranty</w:t>
            </w:r>
          </w:p>
        </w:tc>
        <w:tc>
          <w:tcPr>
            <w:tcW w:w="2501" w:type="dxa"/>
            <w:vAlign w:val="center"/>
          </w:tcPr>
          <w:p w14:paraId="0F912D29" w14:textId="6F04FB66" w:rsidR="008C3B6C" w:rsidRDefault="008C3B6C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12337" w:rsidRPr="007C35CE" w14:paraId="7DF28E0C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4B809070" w14:textId="486F2801" w:rsidR="00D12337" w:rsidRPr="00423F4F" w:rsidRDefault="00D12337" w:rsidP="00423F4F">
            <w:pPr>
              <w:autoSpaceDE w:val="0"/>
              <w:autoSpaceDN w:val="0"/>
              <w:adjustRightInd w:val="0"/>
              <w:ind w:right="9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Other fees / costs (to be listed and justified</w:t>
            </w:r>
            <w:r w:rsidR="00383DEC">
              <w:rPr>
                <w:rFonts w:ascii="Arial" w:hAnsi="Arial" w:cs="Arial"/>
                <w:color w:val="000000"/>
                <w:sz w:val="20"/>
                <w:szCs w:val="20"/>
              </w:rPr>
              <w:t>, if any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1" w:type="dxa"/>
            <w:vAlign w:val="center"/>
          </w:tcPr>
          <w:p w14:paraId="1E31F78D" w14:textId="0107A62B" w:rsidR="00D12337" w:rsidRDefault="00D12337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USD</w:t>
            </w:r>
          </w:p>
        </w:tc>
      </w:tr>
      <w:tr w:rsidR="00D5181F" w:rsidRPr="007C35CE" w14:paraId="1940E168" w14:textId="77777777" w:rsidTr="00D5181F">
        <w:trPr>
          <w:trHeight w:val="419"/>
        </w:trPr>
        <w:tc>
          <w:tcPr>
            <w:tcW w:w="6515" w:type="dxa"/>
            <w:vAlign w:val="center"/>
          </w:tcPr>
          <w:p w14:paraId="3F1CA0E8" w14:textId="08E7359A" w:rsidR="00D5181F" w:rsidRPr="00D5181F" w:rsidRDefault="00D5181F" w:rsidP="00D5181F">
            <w:pPr>
              <w:autoSpaceDE w:val="0"/>
              <w:autoSpaceDN w:val="0"/>
              <w:adjustRightInd w:val="0"/>
              <w:ind w:right="9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1F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vAlign w:val="center"/>
          </w:tcPr>
          <w:p w14:paraId="4855A8FE" w14:textId="77777777" w:rsidR="00D5181F" w:rsidRPr="007C35CE" w:rsidRDefault="00D5181F" w:rsidP="00423F4F">
            <w:pPr>
              <w:autoSpaceDE w:val="0"/>
              <w:autoSpaceDN w:val="0"/>
              <w:adjustRightInd w:val="0"/>
              <w:ind w:right="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A315C8E" w14:textId="77777777" w:rsidR="00177657" w:rsidRDefault="00177657" w:rsidP="006B6CC1">
      <w:pPr>
        <w:ind w:left="567" w:right="827"/>
        <w:jc w:val="center"/>
        <w:rPr>
          <w:sz w:val="28"/>
          <w:szCs w:val="28"/>
        </w:rPr>
      </w:pPr>
    </w:p>
    <w:p w14:paraId="6D98EC84" w14:textId="4346221E" w:rsidR="00177657" w:rsidRDefault="00177657" w:rsidP="00E1549F">
      <w:pPr>
        <w:ind w:right="827"/>
        <w:rPr>
          <w:sz w:val="28"/>
          <w:szCs w:val="28"/>
        </w:rPr>
      </w:pPr>
      <w:r>
        <w:rPr>
          <w:sz w:val="28"/>
          <w:szCs w:val="28"/>
        </w:rPr>
        <w:t>Note – Travel</w:t>
      </w:r>
    </w:p>
    <w:p w14:paraId="06AA3465" w14:textId="0D1B3A44" w:rsidR="00177657" w:rsidRDefault="00177657" w:rsidP="00D47D74">
      <w:pPr>
        <w:tabs>
          <w:tab w:val="left" w:pos="468"/>
          <w:tab w:val="left" w:pos="2160"/>
        </w:tabs>
        <w:ind w:right="96"/>
        <w:jc w:val="both"/>
        <w:rPr>
          <w:sz w:val="28"/>
          <w:szCs w:val="28"/>
        </w:rPr>
      </w:pPr>
      <w:r w:rsidRPr="0064439D">
        <w:rPr>
          <w:rFonts w:ascii="Arial" w:hAnsi="Arial" w:cs="Arial"/>
          <w:bCs/>
          <w:sz w:val="20"/>
          <w:szCs w:val="20"/>
          <w:lang w:val="en-GB"/>
        </w:rPr>
        <w:t xml:space="preserve">All travel required for the mission (transport, accommodation, catering, etc.) </w:t>
      </w:r>
      <w:r>
        <w:rPr>
          <w:rFonts w:ascii="Arial" w:hAnsi="Arial" w:cs="Arial"/>
          <w:bCs/>
          <w:sz w:val="20"/>
          <w:szCs w:val="20"/>
          <w:lang w:val="en-GB"/>
        </w:rPr>
        <w:t>must</w:t>
      </w:r>
      <w:r w:rsidRPr="0064439D">
        <w:rPr>
          <w:rFonts w:ascii="Arial" w:hAnsi="Arial" w:cs="Arial"/>
          <w:bCs/>
          <w:sz w:val="20"/>
          <w:szCs w:val="20"/>
          <w:lang w:val="en-GB"/>
        </w:rPr>
        <w:t xml:space="preserve"> be organi</w:t>
      </w:r>
      <w:r>
        <w:rPr>
          <w:rFonts w:ascii="Arial" w:hAnsi="Arial" w:cs="Arial"/>
          <w:bCs/>
          <w:sz w:val="20"/>
          <w:szCs w:val="20"/>
          <w:lang w:val="en-GB"/>
        </w:rPr>
        <w:t>s</w:t>
      </w:r>
      <w:r w:rsidRPr="0064439D">
        <w:rPr>
          <w:rFonts w:ascii="Arial" w:hAnsi="Arial" w:cs="Arial"/>
          <w:bCs/>
          <w:sz w:val="20"/>
          <w:szCs w:val="20"/>
          <w:lang w:val="en-GB"/>
        </w:rPr>
        <w:t>ed and paid for by the Contractor selected for this mission.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Therefore, all related costs should be included in the </w:t>
      </w:r>
      <w:r w:rsidR="009E1271">
        <w:rPr>
          <w:rFonts w:ascii="Arial" w:hAnsi="Arial" w:cs="Arial"/>
          <w:bCs/>
          <w:sz w:val="20"/>
          <w:szCs w:val="20"/>
          <w:lang w:val="en-GB"/>
        </w:rPr>
        <w:t>financial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proposals. </w:t>
      </w:r>
    </w:p>
    <w:sectPr w:rsidR="00177657" w:rsidSect="004B66F6">
      <w:headerReference w:type="default" r:id="rId7"/>
      <w:pgSz w:w="11906" w:h="16838"/>
      <w:pgMar w:top="255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E2DB" w14:textId="77777777" w:rsidR="006C463B" w:rsidRDefault="006C463B" w:rsidP="004B66F6">
      <w:pPr>
        <w:spacing w:before="0" w:after="0"/>
      </w:pPr>
      <w:r>
        <w:separator/>
      </w:r>
    </w:p>
  </w:endnote>
  <w:endnote w:type="continuationSeparator" w:id="0">
    <w:p w14:paraId="5FBC07DD" w14:textId="77777777" w:rsidR="006C463B" w:rsidRDefault="006C463B" w:rsidP="004B66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3342" w14:textId="77777777" w:rsidR="006C463B" w:rsidRDefault="006C463B" w:rsidP="004B66F6">
      <w:pPr>
        <w:spacing w:before="0" w:after="0"/>
      </w:pPr>
      <w:r>
        <w:separator/>
      </w:r>
    </w:p>
  </w:footnote>
  <w:footnote w:type="continuationSeparator" w:id="0">
    <w:p w14:paraId="0F3CBA76" w14:textId="77777777" w:rsidR="006C463B" w:rsidRDefault="006C463B" w:rsidP="004B66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B47A" w14:textId="285ADD3E" w:rsidR="004B66F6" w:rsidRDefault="00693793">
    <w:pPr>
      <w:pStyle w:val="Header"/>
    </w:pPr>
    <w:r>
      <w:rPr>
        <w:rFonts w:ascii="Trebuchet MS" w:hAnsi="Trebuchet MS"/>
        <w:noProof/>
        <w:szCs w:val="24"/>
        <w:lang w:val="en-US"/>
      </w:rPr>
      <w:drawing>
        <wp:anchor distT="0" distB="0" distL="0" distR="0" simplePos="0" relativeHeight="251659264" behindDoc="1" locked="0" layoutInCell="0" allowOverlap="1" wp14:anchorId="40E6595B" wp14:editId="6888285A">
          <wp:simplePos x="0" y="0"/>
          <wp:positionH relativeFrom="page">
            <wp:posOffset>-7620</wp:posOffset>
          </wp:positionH>
          <wp:positionV relativeFrom="page">
            <wp:posOffset>-8255</wp:posOffset>
          </wp:positionV>
          <wp:extent cx="7560310" cy="1484630"/>
          <wp:effectExtent l="0" t="0" r="0" b="0"/>
          <wp:wrapNone/>
          <wp:docPr id="4" name="Image2" descr="sprep-proe-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sprep-proe-f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3" r="30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8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92DA0"/>
    <w:multiLevelType w:val="hybridMultilevel"/>
    <w:tmpl w:val="3F088634"/>
    <w:lvl w:ilvl="0" w:tplc="E45409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38AC"/>
    <w:multiLevelType w:val="hybridMultilevel"/>
    <w:tmpl w:val="16ECAA3C"/>
    <w:lvl w:ilvl="0" w:tplc="7EA4F5FA">
      <w:start w:val="1"/>
      <w:numFmt w:val="lowerLetter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73647">
    <w:abstractNumId w:val="1"/>
  </w:num>
  <w:num w:numId="2" w16cid:durableId="20036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1"/>
    <w:rsid w:val="000C7C6E"/>
    <w:rsid w:val="00141474"/>
    <w:rsid w:val="0014413A"/>
    <w:rsid w:val="00167DA8"/>
    <w:rsid w:val="00177657"/>
    <w:rsid w:val="001D76BB"/>
    <w:rsid w:val="00214BA9"/>
    <w:rsid w:val="002A1D02"/>
    <w:rsid w:val="002E7897"/>
    <w:rsid w:val="00383DEC"/>
    <w:rsid w:val="004170F9"/>
    <w:rsid w:val="00423F4F"/>
    <w:rsid w:val="0043676E"/>
    <w:rsid w:val="004535C0"/>
    <w:rsid w:val="00477FAC"/>
    <w:rsid w:val="004B66F6"/>
    <w:rsid w:val="004E3AB6"/>
    <w:rsid w:val="005759D3"/>
    <w:rsid w:val="006805DF"/>
    <w:rsid w:val="0068578B"/>
    <w:rsid w:val="00693793"/>
    <w:rsid w:val="006B6CC1"/>
    <w:rsid w:val="006C463B"/>
    <w:rsid w:val="007E511B"/>
    <w:rsid w:val="008C3B6C"/>
    <w:rsid w:val="008E065F"/>
    <w:rsid w:val="008F183C"/>
    <w:rsid w:val="009311EB"/>
    <w:rsid w:val="00937A1B"/>
    <w:rsid w:val="00943CEA"/>
    <w:rsid w:val="00947929"/>
    <w:rsid w:val="009E1271"/>
    <w:rsid w:val="00AA340C"/>
    <w:rsid w:val="00C57D65"/>
    <w:rsid w:val="00D12337"/>
    <w:rsid w:val="00D47D74"/>
    <w:rsid w:val="00D517AE"/>
    <w:rsid w:val="00D5181F"/>
    <w:rsid w:val="00E1549F"/>
    <w:rsid w:val="00F32052"/>
    <w:rsid w:val="00F71E4D"/>
    <w:rsid w:val="00F81EF0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1D213"/>
  <w15:chartTrackingRefBased/>
  <w15:docId w15:val="{0DF2AB1F-66C6-4F52-A97E-6A5F0F12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C1"/>
    <w:pPr>
      <w:spacing w:before="12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B66F6"/>
  </w:style>
  <w:style w:type="paragraph" w:styleId="Footer">
    <w:name w:val="footer"/>
    <w:basedOn w:val="Normal"/>
    <w:link w:val="Foot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B66F6"/>
  </w:style>
  <w:style w:type="character" w:customStyle="1" w:styleId="CommentTextChar">
    <w:name w:val="Comment Text Char"/>
    <w:basedOn w:val="DefaultParagraphFont"/>
    <w:link w:val="CommentText"/>
    <w:uiPriority w:val="99"/>
    <w:rsid w:val="004B66F6"/>
  </w:style>
  <w:style w:type="paragraph" w:styleId="CommentText">
    <w:name w:val="annotation text"/>
    <w:basedOn w:val="Normal"/>
    <w:link w:val="CommentTextChar"/>
    <w:uiPriority w:val="99"/>
    <w:unhideWhenUsed/>
    <w:rsid w:val="004B66F6"/>
    <w:pPr>
      <w:spacing w:before="0" w:after="160"/>
    </w:pPr>
  </w:style>
  <w:style w:type="character" w:customStyle="1" w:styleId="CommentTextChar1">
    <w:name w:val="Comment Text Char1"/>
    <w:basedOn w:val="DefaultParagraphFont"/>
    <w:uiPriority w:val="99"/>
    <w:semiHidden/>
    <w:rsid w:val="004B66F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66F6"/>
    <w:rPr>
      <w:sz w:val="16"/>
      <w:szCs w:val="16"/>
    </w:rPr>
  </w:style>
  <w:style w:type="paragraph" w:styleId="Revision">
    <w:name w:val="Revision"/>
    <w:hidden/>
    <w:uiPriority w:val="99"/>
    <w:semiHidden/>
    <w:rsid w:val="0017765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657"/>
    <w:pPr>
      <w:spacing w:before="120" w:after="6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657"/>
    <w:rPr>
      <w:b/>
      <w:bCs/>
      <w:sz w:val="20"/>
      <w:szCs w:val="20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Bullets"/>
    <w:basedOn w:val="Normal"/>
    <w:link w:val="ListParagraphChar"/>
    <w:uiPriority w:val="34"/>
    <w:qFormat/>
    <w:rsid w:val="00423F4F"/>
    <w:pPr>
      <w:ind w:left="720"/>
      <w:contextualSpacing/>
    </w:p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qFormat/>
    <w:rsid w:val="0042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Soakai-Simamao</dc:creator>
  <cp:keywords/>
  <dc:description/>
  <cp:lastModifiedBy>Julie Pillet</cp:lastModifiedBy>
  <cp:revision>11</cp:revision>
  <dcterms:created xsi:type="dcterms:W3CDTF">2023-06-06T03:21:00Z</dcterms:created>
  <dcterms:modified xsi:type="dcterms:W3CDTF">2023-11-07T22:45:00Z</dcterms:modified>
</cp:coreProperties>
</file>