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5FEA6E96" w:rsidR="00ED3C67" w:rsidRDefault="00ED3C67" w:rsidP="00ED3C67">
      <w:pPr>
        <w:rPr>
          <w:rFonts w:ascii="Calibri" w:hAnsi="Calibri"/>
        </w:rPr>
      </w:pPr>
      <w:r>
        <w:rPr>
          <w:rFonts w:ascii="Calibri" w:hAnsi="Calibri"/>
        </w:rPr>
        <w:t xml:space="preserve">RFT: </w:t>
      </w:r>
      <w:r w:rsidR="00BA35BE">
        <w:rPr>
          <w:rFonts w:ascii="Calibri" w:hAnsi="Calibri"/>
        </w:rPr>
        <w:t>PWP-</w:t>
      </w:r>
      <w:r w:rsidR="00674627">
        <w:rPr>
          <w:rFonts w:ascii="Calibri" w:hAnsi="Calibri"/>
        </w:rPr>
        <w:t>2</w:t>
      </w:r>
      <w:r w:rsidR="00D73853">
        <w:rPr>
          <w:rFonts w:ascii="Calibri" w:hAnsi="Calibri"/>
        </w:rPr>
        <w:t>60</w:t>
      </w:r>
      <w:r w:rsidR="00BA35BE">
        <w:rPr>
          <w:rFonts w:ascii="Calibri" w:hAnsi="Calibri"/>
        </w:rPr>
        <w:t>-CON</w:t>
      </w:r>
    </w:p>
    <w:p w14:paraId="14F07943" w14:textId="28E2E209" w:rsidR="00ED3C67" w:rsidRDefault="00ED3C67" w:rsidP="00ED3C67">
      <w:pPr>
        <w:rPr>
          <w:rFonts w:ascii="Calibri" w:hAnsi="Calibri"/>
        </w:rPr>
      </w:pPr>
      <w:r>
        <w:rPr>
          <w:rFonts w:ascii="Calibri" w:hAnsi="Calibri"/>
        </w:rPr>
        <w:t xml:space="preserve">File: </w:t>
      </w:r>
      <w:r w:rsidR="00BA35BE">
        <w:rPr>
          <w:rFonts w:ascii="Calibri" w:hAnsi="Calibri"/>
        </w:rPr>
        <w:t>AP_6/5/8/</w:t>
      </w:r>
      <w:r w:rsidR="00674627">
        <w:rPr>
          <w:rFonts w:ascii="Calibri" w:hAnsi="Calibri"/>
        </w:rPr>
        <w:t>3</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3492AEC5" w:rsidR="00ED3C67" w:rsidRDefault="00674627" w:rsidP="00122FF6">
            <w:pPr>
              <w:jc w:val="center"/>
              <w:rPr>
                <w:rFonts w:ascii="Calibri" w:hAnsi="Calibri" w:cs="Calibri"/>
                <w:b/>
              </w:rPr>
            </w:pPr>
            <w:r>
              <w:rPr>
                <w:rFonts w:ascii="Arial" w:hAnsi="Arial" w:cs="Arial"/>
                <w:b/>
                <w:bCs/>
                <w:sz w:val="20"/>
                <w:szCs w:val="20"/>
              </w:rPr>
              <w:t xml:space="preserve">Development </w:t>
            </w:r>
            <w:r w:rsidR="00D73853">
              <w:rPr>
                <w:rFonts w:ascii="Arial" w:hAnsi="Arial" w:cs="Arial"/>
                <w:b/>
                <w:bCs/>
                <w:sz w:val="20"/>
                <w:szCs w:val="20"/>
              </w:rPr>
              <w:t>of Federated States of Micronesia (FSM) National Solid &amp; Hazardous Waste Strategy and Policy</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18B521E6" w:rsidR="00ED3C67" w:rsidRDefault="00ED3C67" w:rsidP="00122FF6">
            <w:pPr>
              <w:jc w:val="both"/>
              <w:rPr>
                <w:rFonts w:ascii="Calibri" w:hAnsi="Calibri"/>
                <w:b/>
                <w:sz w:val="22"/>
                <w:szCs w:val="22"/>
              </w:rPr>
            </w:pPr>
            <w:r>
              <w:rPr>
                <w:rFonts w:ascii="Calibri" w:hAnsi="Calibri"/>
                <w:b/>
                <w:sz w:val="22"/>
                <w:szCs w:val="22"/>
              </w:rPr>
              <w:t xml:space="preserve">CRITERIA 1 </w:t>
            </w:r>
            <w:r w:rsidR="00A81914">
              <w:rPr>
                <w:rFonts w:ascii="Calibri" w:hAnsi="Calibri"/>
                <w:b/>
                <w:sz w:val="22"/>
                <w:szCs w:val="22"/>
              </w:rPr>
              <w:t>(</w:t>
            </w:r>
            <w:r w:rsidR="00674627">
              <w:rPr>
                <w:rFonts w:ascii="Calibri" w:hAnsi="Calibri"/>
                <w:b/>
                <w:sz w:val="22"/>
                <w:szCs w:val="22"/>
              </w:rPr>
              <w:t>2</w:t>
            </w:r>
            <w:r w:rsidR="00D73853">
              <w:rPr>
                <w:rFonts w:ascii="Calibri" w:hAnsi="Calibri"/>
                <w:b/>
                <w:sz w:val="22"/>
                <w:szCs w:val="22"/>
              </w:rPr>
              <w:t>5</w:t>
            </w:r>
            <w:r w:rsidR="00A81914">
              <w:rPr>
                <w:rFonts w:ascii="Calibri" w:hAnsi="Calibri"/>
                <w:b/>
                <w:sz w:val="22"/>
                <w:szCs w:val="22"/>
              </w:rPr>
              <w:t>%)</w:t>
            </w:r>
          </w:p>
          <w:p w14:paraId="1D94E415" w14:textId="77777777" w:rsidR="00ED3C67" w:rsidRPr="00D73853" w:rsidRDefault="00D73853" w:rsidP="00122FF6">
            <w:pPr>
              <w:spacing w:after="120"/>
              <w:rPr>
                <w:rFonts w:ascii="Arial" w:eastAsia="Times New Roman" w:hAnsi="Arial" w:cs="Arial"/>
                <w:sz w:val="21"/>
                <w:szCs w:val="21"/>
              </w:rPr>
            </w:pPr>
            <w:r w:rsidRPr="00D73853">
              <w:rPr>
                <w:rFonts w:ascii="Arial" w:eastAsia="Times New Roman" w:hAnsi="Arial" w:cs="Arial"/>
                <w:sz w:val="21"/>
                <w:szCs w:val="21"/>
              </w:rPr>
              <w:t>Demonstrate experience in the development of national strategies/systems.</w:t>
            </w:r>
          </w:p>
          <w:p w14:paraId="77FC9062" w14:textId="714291A1" w:rsidR="00D73853" w:rsidRDefault="00D73853" w:rsidP="00122FF6">
            <w:pPr>
              <w:spacing w:after="120"/>
              <w:rPr>
                <w:rFonts w:ascii="Arial" w:hAnsi="Arial" w:cs="Arial"/>
                <w:color w:val="000000"/>
                <w:sz w:val="20"/>
                <w:szCs w:val="20"/>
              </w:rPr>
            </w:pPr>
            <w:r w:rsidRPr="00D73853">
              <w:rPr>
                <w:rFonts w:ascii="Arial" w:hAnsi="Arial" w:cs="Arial"/>
                <w:color w:val="000000"/>
                <w:sz w:val="21"/>
                <w:szCs w:val="21"/>
              </w:rPr>
              <w:t>Preference given to tenderers that have developed waste management strategies and have experience in the Pacific region.</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21D9BC4F" w:rsidR="00ED3C67" w:rsidRDefault="00ED3C67" w:rsidP="00122FF6">
            <w:pPr>
              <w:rPr>
                <w:rFonts w:ascii="Calibri" w:hAnsi="Calibri"/>
                <w:b/>
                <w:sz w:val="22"/>
                <w:szCs w:val="22"/>
              </w:rPr>
            </w:pPr>
            <w:r>
              <w:rPr>
                <w:rFonts w:ascii="Calibri" w:hAnsi="Calibri"/>
                <w:b/>
                <w:sz w:val="22"/>
                <w:szCs w:val="22"/>
              </w:rPr>
              <w:t>CRITERIA 2</w:t>
            </w:r>
            <w:r w:rsidR="00A81914">
              <w:rPr>
                <w:rFonts w:ascii="Calibri" w:hAnsi="Calibri"/>
                <w:b/>
                <w:sz w:val="22"/>
                <w:szCs w:val="22"/>
              </w:rPr>
              <w:t xml:space="preserve"> (</w:t>
            </w:r>
            <w:r w:rsidR="00D73853">
              <w:rPr>
                <w:rFonts w:ascii="Calibri" w:hAnsi="Calibri"/>
                <w:b/>
                <w:sz w:val="22"/>
                <w:szCs w:val="22"/>
              </w:rPr>
              <w:t>1</w:t>
            </w:r>
            <w:r w:rsidR="00A81914">
              <w:rPr>
                <w:rFonts w:ascii="Calibri" w:hAnsi="Calibri"/>
                <w:b/>
                <w:sz w:val="22"/>
                <w:szCs w:val="22"/>
              </w:rPr>
              <w:t>5%)</w:t>
            </w:r>
          </w:p>
          <w:p w14:paraId="682362B1" w14:textId="6E2142E7" w:rsidR="00ED3C67" w:rsidRPr="00D73853" w:rsidRDefault="00D73853" w:rsidP="00122FF6">
            <w:pPr>
              <w:spacing w:after="120"/>
              <w:rPr>
                <w:rFonts w:ascii="Arial" w:hAnsi="Arial" w:cs="Arial"/>
                <w:color w:val="000000"/>
                <w:sz w:val="21"/>
                <w:szCs w:val="21"/>
              </w:rPr>
            </w:pPr>
            <w:r w:rsidRPr="00D73853">
              <w:rPr>
                <w:rFonts w:ascii="Arial" w:eastAsia="Helvetica Neue" w:hAnsi="Arial" w:cs="Arial"/>
                <w:sz w:val="21"/>
                <w:szCs w:val="21"/>
                <w:lang w:val="en-AU"/>
              </w:rPr>
              <w:t>Demonstrate an understanding of solid and hazardous waste management, treatment, and disposal systems.</w:t>
            </w: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3312BA8F" w:rsidR="00BA35BE" w:rsidRDefault="00BA35BE" w:rsidP="00BA35BE">
            <w:pPr>
              <w:rPr>
                <w:rFonts w:ascii="Calibri" w:hAnsi="Calibri"/>
                <w:b/>
                <w:sz w:val="22"/>
                <w:szCs w:val="22"/>
              </w:rPr>
            </w:pPr>
            <w:r>
              <w:rPr>
                <w:rFonts w:ascii="Calibri" w:hAnsi="Calibri"/>
                <w:b/>
                <w:sz w:val="22"/>
                <w:szCs w:val="22"/>
              </w:rPr>
              <w:t>CRITERIA 3</w:t>
            </w:r>
            <w:r w:rsidR="00A81914">
              <w:rPr>
                <w:rFonts w:ascii="Calibri" w:hAnsi="Calibri"/>
                <w:b/>
                <w:sz w:val="22"/>
                <w:szCs w:val="22"/>
              </w:rPr>
              <w:t xml:space="preserve"> (</w:t>
            </w:r>
            <w:r w:rsidR="00674627">
              <w:rPr>
                <w:rFonts w:ascii="Calibri" w:hAnsi="Calibri"/>
                <w:b/>
                <w:sz w:val="22"/>
                <w:szCs w:val="22"/>
              </w:rPr>
              <w:t>1</w:t>
            </w:r>
            <w:r w:rsidR="00D73853">
              <w:rPr>
                <w:rFonts w:ascii="Calibri" w:hAnsi="Calibri"/>
                <w:b/>
                <w:sz w:val="22"/>
                <w:szCs w:val="22"/>
              </w:rPr>
              <w:t>5</w:t>
            </w:r>
            <w:r w:rsidR="00A81914">
              <w:rPr>
                <w:rFonts w:ascii="Calibri" w:hAnsi="Calibri"/>
                <w:b/>
                <w:sz w:val="22"/>
                <w:szCs w:val="22"/>
              </w:rPr>
              <w:t>%)</w:t>
            </w:r>
          </w:p>
          <w:p w14:paraId="16201EA5" w14:textId="2099B162" w:rsidR="00ED3C67" w:rsidRDefault="00D73853" w:rsidP="00A81914">
            <w:pPr>
              <w:spacing w:after="120"/>
              <w:ind w:right="924"/>
              <w:rPr>
                <w:rFonts w:ascii="Arial" w:hAnsi="Arial" w:cs="Arial"/>
                <w:color w:val="000000"/>
              </w:rPr>
            </w:pPr>
            <w:r w:rsidRPr="003E3346">
              <w:rPr>
                <w:rFonts w:ascii="Arial" w:eastAsia="Helvetica Neue" w:hAnsi="Arial" w:cs="Arial"/>
                <w:sz w:val="21"/>
                <w:szCs w:val="21"/>
                <w:lang w:val="en-AU"/>
              </w:rPr>
              <w:t>Demonstrated experience in national and local monitoring and evaluation processes that include strengthened reporting, monitoring, and evaluation mechanisms</w:t>
            </w: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B86B63" w14:paraId="54B01F7E"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2B812" w14:textId="479330E1" w:rsidR="00B86B63" w:rsidRDefault="00B86B63" w:rsidP="00B86B63">
            <w:pPr>
              <w:rPr>
                <w:rFonts w:ascii="Calibri" w:hAnsi="Calibri"/>
                <w:b/>
                <w:sz w:val="22"/>
                <w:szCs w:val="22"/>
              </w:rPr>
            </w:pPr>
            <w:r>
              <w:rPr>
                <w:rFonts w:ascii="Calibri" w:hAnsi="Calibri"/>
                <w:b/>
                <w:sz w:val="22"/>
                <w:szCs w:val="22"/>
              </w:rPr>
              <w:lastRenderedPageBreak/>
              <w:t xml:space="preserve">CRITERIA </w:t>
            </w:r>
            <w:r w:rsidR="00D73853">
              <w:rPr>
                <w:rFonts w:ascii="Calibri" w:hAnsi="Calibri"/>
                <w:b/>
                <w:sz w:val="22"/>
                <w:szCs w:val="22"/>
              </w:rPr>
              <w:t>4</w:t>
            </w:r>
            <w:r>
              <w:rPr>
                <w:rFonts w:ascii="Calibri" w:hAnsi="Calibri"/>
                <w:b/>
                <w:sz w:val="22"/>
                <w:szCs w:val="22"/>
              </w:rPr>
              <w:t xml:space="preserve"> (</w:t>
            </w:r>
            <w:r w:rsidR="00D73853">
              <w:rPr>
                <w:rFonts w:ascii="Calibri" w:hAnsi="Calibri"/>
                <w:b/>
                <w:sz w:val="22"/>
                <w:szCs w:val="22"/>
              </w:rPr>
              <w:t>25</w:t>
            </w:r>
            <w:r>
              <w:rPr>
                <w:rFonts w:ascii="Calibri" w:hAnsi="Calibri"/>
                <w:b/>
                <w:sz w:val="22"/>
                <w:szCs w:val="22"/>
              </w:rPr>
              <w:t xml:space="preserve">%) </w:t>
            </w:r>
          </w:p>
          <w:p w14:paraId="2F38AACA" w14:textId="77777777" w:rsidR="00D73853" w:rsidRPr="003E3346" w:rsidRDefault="00D73853" w:rsidP="00D73853">
            <w:pPr>
              <w:suppressAutoHyphens/>
              <w:autoSpaceDE w:val="0"/>
              <w:autoSpaceDN w:val="0"/>
              <w:adjustRightInd w:val="0"/>
              <w:spacing w:before="120" w:after="60"/>
              <w:rPr>
                <w:rFonts w:ascii="Arial" w:hAnsi="Arial" w:cs="Arial"/>
                <w:sz w:val="21"/>
                <w:szCs w:val="21"/>
                <w:lang w:val="en-AU"/>
              </w:rPr>
            </w:pPr>
            <w:r w:rsidRPr="003E3346">
              <w:rPr>
                <w:rFonts w:ascii="Arial" w:eastAsia="Helvetica Neue" w:hAnsi="Arial" w:cs="Arial"/>
                <w:sz w:val="21"/>
                <w:szCs w:val="21"/>
                <w:lang w:val="en-AU"/>
              </w:rPr>
              <w:t>Proposed project methodology noting schedule, activities, concurrent or sequential development, engagement with country representatives, etc.</w:t>
            </w:r>
          </w:p>
          <w:p w14:paraId="055CD04F" w14:textId="2BFCD2E9" w:rsidR="00B86B63" w:rsidRDefault="00D73853" w:rsidP="00D73853">
            <w:pPr>
              <w:rPr>
                <w:rFonts w:ascii="Calibri" w:hAnsi="Calibri" w:cs="Calibri"/>
              </w:rPr>
            </w:pPr>
            <w:r w:rsidRPr="003E3346">
              <w:rPr>
                <w:rFonts w:ascii="Arial" w:eastAsia="Helvetica Neue" w:hAnsi="Arial" w:cs="Arial"/>
                <w:sz w:val="21"/>
                <w:szCs w:val="21"/>
                <w:lang w:val="en-AU"/>
              </w:rPr>
              <w:t>Preference given to consultants to provide details of their preferred strategy structure and provide specific information on how they will deliver and manage the requested works.</w:t>
            </w:r>
          </w:p>
        </w:tc>
      </w:tr>
      <w:tr w:rsidR="00B86B63" w14:paraId="5586B17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0C25627" w14:textId="77777777" w:rsidR="00B86B63" w:rsidRDefault="00B86B63" w:rsidP="00B86B63">
            <w:pPr>
              <w:rPr>
                <w:rFonts w:ascii="Calibri" w:hAnsi="Calibri" w:cs="Calibri"/>
              </w:rPr>
            </w:pPr>
          </w:p>
          <w:p w14:paraId="7F803AA0" w14:textId="77777777" w:rsidR="00B86B63" w:rsidRDefault="00B86B63" w:rsidP="00B86B63">
            <w:pPr>
              <w:rPr>
                <w:rFonts w:ascii="Calibri" w:hAnsi="Calibri" w:cs="Calibri"/>
              </w:rPr>
            </w:pPr>
          </w:p>
          <w:p w14:paraId="7F91565D" w14:textId="6CA1BCBB" w:rsidR="00B86B63" w:rsidRPr="00B86B63" w:rsidRDefault="00B86B63" w:rsidP="00B86B63">
            <w:pPr>
              <w:pStyle w:val="ListParagraph"/>
              <w:numPr>
                <w:ilvl w:val="0"/>
                <w:numId w:val="20"/>
              </w:numPr>
              <w:rPr>
                <w:rFonts w:ascii="Calibri" w:hAnsi="Calibri" w:cs="Calibri"/>
              </w:rPr>
            </w:pPr>
            <w:r>
              <w:rPr>
                <w:rFonts w:ascii="Calibri" w:hAnsi="Calibri" w:cs="Calibri"/>
              </w:rPr>
              <w:t xml:space="preserve">Technical proposal can be attached </w:t>
            </w:r>
            <w:proofErr w:type="gramStart"/>
            <w:r>
              <w:rPr>
                <w:rFonts w:ascii="Calibri" w:hAnsi="Calibri" w:cs="Calibri"/>
              </w:rPr>
              <w:t>separately</w:t>
            </w:r>
            <w:proofErr w:type="gramEnd"/>
          </w:p>
          <w:p w14:paraId="144686B1" w14:textId="77777777" w:rsidR="00B86B63" w:rsidRDefault="00B86B63" w:rsidP="00B86B63">
            <w:pPr>
              <w:rPr>
                <w:rFonts w:ascii="Calibri" w:hAnsi="Calibri" w:cs="Calibri"/>
              </w:rPr>
            </w:pPr>
          </w:p>
          <w:p w14:paraId="17B72B92" w14:textId="77777777" w:rsidR="00B86B63" w:rsidRDefault="00B86B63" w:rsidP="00B86B63">
            <w:pPr>
              <w:rPr>
                <w:rFonts w:ascii="Calibri" w:hAnsi="Calibri" w:cs="Calibri"/>
              </w:rPr>
            </w:pPr>
          </w:p>
          <w:p w14:paraId="780A841D" w14:textId="77777777" w:rsidR="00D73853" w:rsidRDefault="00D73853" w:rsidP="00B86B63">
            <w:pPr>
              <w:rPr>
                <w:rFonts w:ascii="Calibri" w:hAnsi="Calibri" w:cs="Calibri"/>
              </w:rPr>
            </w:pPr>
          </w:p>
          <w:p w14:paraId="02168D9A" w14:textId="77777777" w:rsidR="00D73853" w:rsidRDefault="00D73853" w:rsidP="00B86B63">
            <w:pPr>
              <w:rPr>
                <w:rFonts w:ascii="Calibri" w:hAnsi="Calibri" w:cs="Calibri"/>
              </w:rPr>
            </w:pPr>
          </w:p>
          <w:p w14:paraId="442ED881" w14:textId="77777777" w:rsidR="00D73853" w:rsidRDefault="00D73853" w:rsidP="00B86B63">
            <w:pPr>
              <w:rPr>
                <w:rFonts w:ascii="Calibri" w:hAnsi="Calibri" w:cs="Calibri"/>
              </w:rPr>
            </w:pPr>
          </w:p>
          <w:p w14:paraId="03B518D7" w14:textId="77777777" w:rsidR="00B86B63" w:rsidRDefault="00B86B63" w:rsidP="00B86B63">
            <w:pPr>
              <w:rPr>
                <w:rFonts w:ascii="Calibri" w:hAnsi="Calibri" w:cs="Calibri"/>
              </w:rPr>
            </w:pPr>
          </w:p>
        </w:tc>
      </w:tr>
      <w:tr w:rsidR="00B86B63" w14:paraId="27F58244" w14:textId="77777777" w:rsidTr="00B86B6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04262" w14:textId="00BD4598" w:rsidR="00B86B63" w:rsidRDefault="00B86B63" w:rsidP="00B86B63">
            <w:pPr>
              <w:rPr>
                <w:rFonts w:ascii="Calibri" w:hAnsi="Calibri"/>
                <w:b/>
                <w:sz w:val="22"/>
                <w:szCs w:val="22"/>
              </w:rPr>
            </w:pPr>
            <w:r>
              <w:rPr>
                <w:rFonts w:ascii="Calibri" w:hAnsi="Calibri"/>
                <w:b/>
                <w:sz w:val="22"/>
                <w:szCs w:val="22"/>
              </w:rPr>
              <w:t xml:space="preserve">CRITERIA </w:t>
            </w:r>
            <w:r w:rsidR="00D73853">
              <w:rPr>
                <w:rFonts w:ascii="Calibri" w:hAnsi="Calibri"/>
                <w:b/>
                <w:sz w:val="22"/>
                <w:szCs w:val="22"/>
              </w:rPr>
              <w:t>5</w:t>
            </w:r>
            <w:r>
              <w:rPr>
                <w:rFonts w:ascii="Calibri" w:hAnsi="Calibri"/>
                <w:b/>
                <w:sz w:val="22"/>
                <w:szCs w:val="22"/>
              </w:rPr>
              <w:t xml:space="preserve"> (20%) </w:t>
            </w:r>
          </w:p>
          <w:p w14:paraId="68EB5A56" w14:textId="548BAAB4" w:rsidR="00B86B63" w:rsidRDefault="00B86B63" w:rsidP="00B86B63">
            <w:pPr>
              <w:rPr>
                <w:rFonts w:ascii="Calibri" w:hAnsi="Calibri" w:cs="Calibri"/>
              </w:rPr>
            </w:pPr>
            <w:r>
              <w:rPr>
                <w:rFonts w:ascii="Arial" w:eastAsia="Times New Roman" w:hAnsi="Arial" w:cs="Arial"/>
                <w:sz w:val="20"/>
                <w:szCs w:val="20"/>
              </w:rPr>
              <w:t xml:space="preserve">Financial Quote addressing all requirements outlined in the TOR </w:t>
            </w:r>
          </w:p>
        </w:tc>
      </w:tr>
      <w:tr w:rsidR="00B86B63" w14:paraId="78A0295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BEB7B71" w14:textId="77777777" w:rsidR="00B86B63" w:rsidRDefault="00B86B63" w:rsidP="00B86B63">
            <w:pPr>
              <w:pStyle w:val="ListParagraph"/>
              <w:numPr>
                <w:ilvl w:val="0"/>
                <w:numId w:val="20"/>
              </w:numPr>
              <w:rPr>
                <w:rFonts w:ascii="Calibri" w:hAnsi="Calibri" w:cs="Calibri"/>
              </w:rPr>
            </w:pPr>
            <w:r>
              <w:rPr>
                <w:rFonts w:ascii="Calibri" w:hAnsi="Calibri" w:cs="Calibri"/>
              </w:rPr>
              <w:t xml:space="preserve">Financial Quote can be attached </w:t>
            </w:r>
            <w:proofErr w:type="gramStart"/>
            <w:r>
              <w:rPr>
                <w:rFonts w:ascii="Calibri" w:hAnsi="Calibri" w:cs="Calibri"/>
              </w:rPr>
              <w:t>separately</w:t>
            </w:r>
            <w:proofErr w:type="gramEnd"/>
          </w:p>
          <w:p w14:paraId="0C68CBBC" w14:textId="77777777" w:rsidR="00B86B63" w:rsidRDefault="00B86B63" w:rsidP="00B86B63">
            <w:pPr>
              <w:pStyle w:val="ListParagraph"/>
              <w:rPr>
                <w:rFonts w:ascii="Calibri" w:hAnsi="Calibri" w:cs="Calibri"/>
              </w:rPr>
            </w:pPr>
          </w:p>
          <w:p w14:paraId="1C7D3582" w14:textId="77777777" w:rsidR="00B86B63" w:rsidRDefault="00B86B63" w:rsidP="00B86B63">
            <w:pPr>
              <w:pStyle w:val="ListParagraph"/>
              <w:rPr>
                <w:rFonts w:ascii="Calibri" w:hAnsi="Calibri" w:cs="Calibri"/>
              </w:rPr>
            </w:pPr>
          </w:p>
          <w:p w14:paraId="04B6343B" w14:textId="77777777" w:rsidR="00D73853" w:rsidRDefault="00D73853" w:rsidP="00B86B63">
            <w:pPr>
              <w:pStyle w:val="ListParagraph"/>
              <w:rPr>
                <w:rFonts w:ascii="Calibri" w:hAnsi="Calibri" w:cs="Calibri"/>
              </w:rPr>
            </w:pPr>
          </w:p>
          <w:p w14:paraId="29B21E25" w14:textId="77777777" w:rsidR="00D73853" w:rsidRDefault="00D73853" w:rsidP="00B86B63">
            <w:pPr>
              <w:pStyle w:val="ListParagraph"/>
              <w:rPr>
                <w:rFonts w:ascii="Calibri" w:hAnsi="Calibri" w:cs="Calibri"/>
              </w:rPr>
            </w:pPr>
          </w:p>
          <w:p w14:paraId="46574DC8" w14:textId="77777777" w:rsidR="00D73853" w:rsidRDefault="00D73853" w:rsidP="00B86B63">
            <w:pPr>
              <w:pStyle w:val="ListParagraph"/>
              <w:rPr>
                <w:rFonts w:ascii="Calibri" w:hAnsi="Calibri" w:cs="Calibri"/>
              </w:rPr>
            </w:pPr>
          </w:p>
          <w:p w14:paraId="10932932" w14:textId="7FD47C48" w:rsidR="00B86B63" w:rsidRPr="00B86B63" w:rsidRDefault="00B86B63" w:rsidP="00B86B63">
            <w:pPr>
              <w:pStyle w:val="ListParagraph"/>
              <w:rPr>
                <w:rFonts w:ascii="Calibri" w:hAnsi="Calibri" w:cs="Calibri"/>
              </w:rPr>
            </w:pPr>
          </w:p>
        </w:tc>
      </w:tr>
      <w:tr w:rsidR="00B86B63"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B86B63" w:rsidRDefault="00B86B63" w:rsidP="00B86B63">
            <w:pPr>
              <w:rPr>
                <w:rFonts w:ascii="Calibri" w:hAnsi="Calibri" w:cs="Calibri"/>
              </w:rPr>
            </w:pPr>
          </w:p>
        </w:tc>
      </w:tr>
      <w:tr w:rsidR="00B86B63"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B86B63" w:rsidRDefault="00B86B63" w:rsidP="00B86B63">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B86B63" w:rsidRDefault="00B86B63" w:rsidP="00B86B63">
            <w:pPr>
              <w:rPr>
                <w:rFonts w:ascii="Calibri" w:hAnsi="Calibri" w:cs="Calibri"/>
                <w:b/>
                <w:bCs/>
              </w:rPr>
            </w:pPr>
            <w:r>
              <w:rPr>
                <w:rFonts w:ascii="Calibri" w:hAnsi="Calibri" w:cs="Calibri"/>
                <w:b/>
                <w:bCs/>
              </w:rPr>
              <w:t>GENERAL INFORMATION</w:t>
            </w:r>
          </w:p>
        </w:tc>
      </w:tr>
      <w:tr w:rsidR="00B86B63"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B86B63" w:rsidRDefault="00B86B63" w:rsidP="00B86B63">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B86B63" w:rsidRDefault="00B86B63" w:rsidP="00B86B63">
            <w:pPr>
              <w:rPr>
                <w:rFonts w:ascii="Calibri" w:hAnsi="Calibri" w:cs="Calibri"/>
              </w:rPr>
            </w:pPr>
          </w:p>
        </w:tc>
      </w:tr>
      <w:tr w:rsidR="00B86B63"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B86B63" w:rsidRDefault="00B86B63" w:rsidP="00B86B63">
            <w:pPr>
              <w:pStyle w:val="Default"/>
              <w:jc w:val="both"/>
              <w:rPr>
                <w:lang w:eastAsia="en-AU"/>
              </w:rPr>
            </w:pPr>
            <w:r>
              <w:lastRenderedPageBreak/>
              <w:t xml:space="preserve">Declaration </w:t>
            </w:r>
            <w:r>
              <w:rPr>
                <w:rStyle w:val="Strong"/>
              </w:rPr>
              <w:t xml:space="preserve">Tenderer has no association with </w:t>
            </w:r>
          </w:p>
          <w:p w14:paraId="4974F2EA" w14:textId="77777777" w:rsidR="00B86B63" w:rsidRDefault="00B86B63" w:rsidP="00B86B63">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B86B63" w:rsidRDefault="00B86B63" w:rsidP="00B86B63">
            <w:pPr>
              <w:rPr>
                <w:rFonts w:ascii="Calibri" w:hAnsi="Calibri" w:cs="Calibri"/>
              </w:rPr>
            </w:pPr>
          </w:p>
        </w:tc>
      </w:tr>
    </w:tbl>
    <w:p w14:paraId="72EC63AE"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15CDC01D" w14:textId="77777777" w:rsidTr="00D73853">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D73853">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D7385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D73853">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D73853">
        <w:trPr>
          <w:cantSplit/>
        </w:trPr>
        <w:tc>
          <w:tcPr>
            <w:tcW w:w="9493"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D7385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D73853">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D73853">
        <w:trPr>
          <w:cantSplit/>
        </w:trPr>
        <w:tc>
          <w:tcPr>
            <w:tcW w:w="9493"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D7385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D73853">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D7385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D73853">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D73853">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37359FF" w14:textId="36CD62FA" w:rsidR="00ED3C67" w:rsidRDefault="00ED3C67" w:rsidP="00ED3C67"/>
    <w:p w14:paraId="005AD9E1" w14:textId="38654409" w:rsidR="00CB5A91" w:rsidRDefault="00CB5A91" w:rsidP="00ED3C67"/>
    <w:p w14:paraId="1FEFE90F" w14:textId="51CCB9DE" w:rsidR="00CB5A91" w:rsidRDefault="00CB5A91" w:rsidP="00ED3C67"/>
    <w:p w14:paraId="36035630" w14:textId="390E2F6D" w:rsidR="00CB5A91" w:rsidRDefault="00CB5A91" w:rsidP="00ED3C67"/>
    <w:p w14:paraId="703E4714" w14:textId="2039CC58" w:rsidR="00CB5A91" w:rsidRDefault="00CB5A91" w:rsidP="00ED3C67"/>
    <w:p w14:paraId="0AD2D71D" w14:textId="77777777" w:rsidR="00B86B63" w:rsidRDefault="00B86B63" w:rsidP="00ED3C67"/>
    <w:p w14:paraId="0C34EE45" w14:textId="77777777" w:rsidR="00B86B63" w:rsidRDefault="00B86B63" w:rsidP="00ED3C67"/>
    <w:p w14:paraId="1A357B2E" w14:textId="77777777" w:rsidR="00B86B63" w:rsidRDefault="00B86B63" w:rsidP="00ED3C67"/>
    <w:p w14:paraId="2DBCF78D" w14:textId="77777777" w:rsidR="00B86B63" w:rsidRDefault="00B86B63" w:rsidP="00ED3C67"/>
    <w:p w14:paraId="356840BD" w14:textId="77777777" w:rsidR="00B86B63" w:rsidRDefault="00B86B63" w:rsidP="00ED3C67"/>
    <w:p w14:paraId="37E30846" w14:textId="77777777" w:rsidR="00B86B63" w:rsidRDefault="00B86B63" w:rsidP="00ED3C67"/>
    <w:p w14:paraId="5D7764D3" w14:textId="77777777" w:rsidR="00B86B63" w:rsidRDefault="00B86B63" w:rsidP="00ED3C67"/>
    <w:p w14:paraId="3C6B989D" w14:textId="77777777" w:rsidR="00B86B63" w:rsidRDefault="00B86B63" w:rsidP="00ED3C67"/>
    <w:p w14:paraId="22218009" w14:textId="77777777" w:rsidR="00B86B63" w:rsidRDefault="00B86B63" w:rsidP="00ED3C67"/>
    <w:p w14:paraId="10EF9DFD" w14:textId="77777777" w:rsidR="00B86B63" w:rsidRDefault="00B86B63" w:rsidP="00ED3C67"/>
    <w:p w14:paraId="5536FCE1" w14:textId="77777777" w:rsidR="00B86B63" w:rsidRDefault="00B86B63" w:rsidP="00ED3C67"/>
    <w:p w14:paraId="68D1482D" w14:textId="77777777" w:rsidR="00B86B63" w:rsidRDefault="00B86B63" w:rsidP="00ED3C67"/>
    <w:p w14:paraId="64AE0FE5" w14:textId="77777777" w:rsidR="00B86B63" w:rsidRDefault="00B86B63" w:rsidP="00ED3C67"/>
    <w:p w14:paraId="3CE48CD5" w14:textId="77777777" w:rsidR="00B86B63" w:rsidRDefault="00B86B63" w:rsidP="00ED3C67"/>
    <w:p w14:paraId="2002A065" w14:textId="77777777" w:rsidR="00B86B63" w:rsidRDefault="00B86B63" w:rsidP="00ED3C67"/>
    <w:p w14:paraId="0B203EE5" w14:textId="77777777" w:rsidR="00B86B63" w:rsidRDefault="00B86B63" w:rsidP="00ED3C67"/>
    <w:p w14:paraId="444AF860" w14:textId="77777777" w:rsidR="00B86B63" w:rsidRDefault="00B86B63" w:rsidP="00ED3C67"/>
    <w:p w14:paraId="002BB3AC" w14:textId="77777777" w:rsidR="00B86B63" w:rsidRDefault="00B86B63" w:rsidP="00ED3C67"/>
    <w:p w14:paraId="2058F1E3" w14:textId="77777777" w:rsidR="00B86B63" w:rsidRDefault="00B86B63" w:rsidP="00ED3C67"/>
    <w:p w14:paraId="4D42F31D" w14:textId="77777777" w:rsidR="00B86B63" w:rsidRDefault="00B86B63" w:rsidP="00ED3C67"/>
    <w:p w14:paraId="61E667BC" w14:textId="77777777" w:rsidR="00B86B63" w:rsidRDefault="00B86B63" w:rsidP="00ED3C67"/>
    <w:p w14:paraId="6397FD50" w14:textId="77777777" w:rsidR="00B86B63" w:rsidRDefault="00B86B63" w:rsidP="00ED3C67"/>
    <w:p w14:paraId="64610C08" w14:textId="77777777" w:rsidR="00CB5A91" w:rsidRDefault="00CB5A91"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983CB66" w14:textId="2BB63540"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86B63">
        <w:rPr>
          <w:rFonts w:ascii="Arial" w:hAnsi="Arial" w:cs="Arial"/>
          <w:b/>
          <w:sz w:val="20"/>
          <w:szCs w:val="20"/>
        </w:rPr>
        <w:t xml:space="preserve">Development of </w:t>
      </w:r>
      <w:r w:rsidR="00D73853">
        <w:rPr>
          <w:rFonts w:ascii="Arial" w:hAnsi="Arial" w:cs="Arial"/>
          <w:b/>
          <w:sz w:val="20"/>
          <w:szCs w:val="20"/>
        </w:rPr>
        <w:t>Federated States of Micronesia (FSM) National Solid &amp; Hazardous Waste Strategy and Policy.</w:t>
      </w:r>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xmlns:w16du="http://schemas.microsoft.com/office/word/2023/wordml/word16du">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xmlns:w16du="http://schemas.microsoft.com/office/word/2023/wordml/word16du">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1D062862" w14:textId="77777777" w:rsidR="0073319D" w:rsidRDefault="0073319D">
      <w:pPr>
        <w:pStyle w:val="BodyA"/>
        <w:rPr>
          <w:rStyle w:val="None"/>
          <w:rFonts w:ascii="Arial" w:eastAsia="Arial" w:hAnsi="Arial" w:cs="Arial"/>
        </w:rPr>
      </w:pPr>
    </w:p>
    <w:p w14:paraId="1047EC8B" w14:textId="77777777" w:rsidR="0073319D" w:rsidRDefault="0073319D">
      <w:pPr>
        <w:pStyle w:val="BodyA"/>
        <w:rPr>
          <w:rStyle w:val="None"/>
          <w:rFonts w:ascii="Arial" w:eastAsia="Arial" w:hAnsi="Arial" w:cs="Arial"/>
        </w:rPr>
      </w:pPr>
    </w:p>
    <w:p w14:paraId="324A3D6B" w14:textId="77777777" w:rsidR="0073319D" w:rsidRDefault="0073319D">
      <w:pPr>
        <w:pStyle w:val="BodyA"/>
        <w:rPr>
          <w:rStyle w:val="None"/>
          <w:rFonts w:ascii="Arial" w:eastAsia="Arial" w:hAnsi="Arial" w:cs="Arial"/>
        </w:rPr>
      </w:pPr>
    </w:p>
    <w:p w14:paraId="6522F471" w14:textId="77777777" w:rsidR="0073319D" w:rsidRDefault="0073319D">
      <w:pPr>
        <w:pStyle w:val="BodyA"/>
        <w:rPr>
          <w:rStyle w:val="None"/>
          <w:rFonts w:ascii="Arial" w:eastAsia="Arial" w:hAnsi="Arial" w:cs="Arial"/>
        </w:rPr>
      </w:pPr>
    </w:p>
    <w:p w14:paraId="7C5ACEA6" w14:textId="77777777" w:rsidR="0073319D" w:rsidRDefault="0073319D">
      <w:pPr>
        <w:pStyle w:val="BodyA"/>
        <w:rPr>
          <w:rStyle w:val="None"/>
          <w:rFonts w:ascii="Arial" w:eastAsia="Arial" w:hAnsi="Arial" w:cs="Arial"/>
        </w:rPr>
      </w:pPr>
    </w:p>
    <w:p w14:paraId="42B6C378" w14:textId="77777777" w:rsidR="0073319D" w:rsidRDefault="0073319D">
      <w:pPr>
        <w:pStyle w:val="BodyA"/>
        <w:rPr>
          <w:rStyle w:val="None"/>
          <w:rFonts w:ascii="Arial" w:eastAsia="Arial" w:hAnsi="Arial" w:cs="Arial"/>
        </w:rPr>
      </w:pPr>
    </w:p>
    <w:p w14:paraId="56E4E768"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B0F8" w14:textId="77777777" w:rsidR="00CA35C0" w:rsidRDefault="00CA35C0">
      <w:r>
        <w:separator/>
      </w:r>
    </w:p>
  </w:endnote>
  <w:endnote w:type="continuationSeparator" w:id="0">
    <w:p w14:paraId="7C3962D3" w14:textId="77777777" w:rsidR="00CA35C0" w:rsidRDefault="00CA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C6F5" w14:textId="77777777" w:rsidR="00CA35C0" w:rsidRDefault="00CA35C0">
      <w:r>
        <w:separator/>
      </w:r>
    </w:p>
  </w:footnote>
  <w:footnote w:type="continuationSeparator" w:id="0">
    <w:p w14:paraId="72D60F06" w14:textId="77777777" w:rsidR="00CA35C0" w:rsidRDefault="00CA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8983882"/>
    <w:multiLevelType w:val="hybridMultilevel"/>
    <w:tmpl w:val="AF8E8564"/>
    <w:lvl w:ilvl="0" w:tplc="D33C334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2"/>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4"/>
  </w:num>
  <w:num w:numId="20" w16cid:durableId="844590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2669D3"/>
    <w:rsid w:val="003D5914"/>
    <w:rsid w:val="00674627"/>
    <w:rsid w:val="00701968"/>
    <w:rsid w:val="0073319D"/>
    <w:rsid w:val="00851988"/>
    <w:rsid w:val="00926C41"/>
    <w:rsid w:val="009C696D"/>
    <w:rsid w:val="009E5BDE"/>
    <w:rsid w:val="00A81914"/>
    <w:rsid w:val="00B5788B"/>
    <w:rsid w:val="00B86B63"/>
    <w:rsid w:val="00BA35BE"/>
    <w:rsid w:val="00C57561"/>
    <w:rsid w:val="00CA35C0"/>
    <w:rsid w:val="00CB5A91"/>
    <w:rsid w:val="00CE558D"/>
    <w:rsid w:val="00D73853"/>
    <w:rsid w:val="00E33B1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2</cp:revision>
  <dcterms:created xsi:type="dcterms:W3CDTF">2023-07-27T03:24:00Z</dcterms:created>
  <dcterms:modified xsi:type="dcterms:W3CDTF">2023-07-27T03:24:00Z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