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2C85" w14:textId="125E1AE3" w:rsidR="00D5181F" w:rsidRPr="00D5181F" w:rsidRDefault="004535C0" w:rsidP="00D5181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RFT: </w:t>
      </w:r>
      <w:r w:rsidRPr="00E1549F">
        <w:rPr>
          <w:b/>
          <w:bCs/>
          <w:sz w:val="28"/>
          <w:szCs w:val="28"/>
          <w:u w:val="single"/>
        </w:rPr>
        <w:t>202</w:t>
      </w:r>
      <w:r w:rsidR="005E64FE">
        <w:rPr>
          <w:b/>
          <w:bCs/>
          <w:sz w:val="28"/>
          <w:szCs w:val="28"/>
          <w:u w:val="single"/>
        </w:rPr>
        <w:t>4</w:t>
      </w:r>
      <w:r w:rsidRPr="00E1549F">
        <w:rPr>
          <w:b/>
          <w:bCs/>
          <w:sz w:val="28"/>
          <w:szCs w:val="28"/>
          <w:u w:val="single"/>
        </w:rPr>
        <w:t>/</w:t>
      </w:r>
      <w:r w:rsidR="004D1B2D">
        <w:rPr>
          <w:b/>
          <w:bCs/>
          <w:sz w:val="28"/>
          <w:szCs w:val="28"/>
          <w:u w:val="single"/>
        </w:rPr>
        <w:t>007</w:t>
      </w:r>
      <w:r w:rsidR="00177657">
        <w:rPr>
          <w:b/>
          <w:bCs/>
          <w:sz w:val="28"/>
          <w:szCs w:val="28"/>
          <w:u w:val="single"/>
        </w:rPr>
        <w:t xml:space="preserve"> </w:t>
      </w:r>
      <w:r w:rsidR="00D5181F">
        <w:rPr>
          <w:b/>
          <w:bCs/>
          <w:sz w:val="28"/>
          <w:szCs w:val="28"/>
          <w:u w:val="single"/>
        </w:rPr>
        <w:t>–</w:t>
      </w:r>
      <w:r>
        <w:rPr>
          <w:b/>
          <w:bCs/>
          <w:sz w:val="28"/>
          <w:szCs w:val="28"/>
          <w:u w:val="single"/>
        </w:rPr>
        <w:t xml:space="preserve"> </w:t>
      </w:r>
      <w:r w:rsidR="005E64FE" w:rsidRPr="005E64FE">
        <w:rPr>
          <w:b/>
          <w:bCs/>
          <w:sz w:val="28"/>
          <w:szCs w:val="28"/>
          <w:u w:val="single"/>
        </w:rPr>
        <w:t>End-of-Project Evaluation for the ‘Committing to Sustainable Waste Actions in the Pacific’ (SWAP) Project</w:t>
      </w:r>
    </w:p>
    <w:p w14:paraId="615EBD12" w14:textId="7335CC2C" w:rsidR="00D5181F" w:rsidRPr="00D5181F" w:rsidRDefault="00D5181F" w:rsidP="004B66F6">
      <w:pPr>
        <w:ind w:right="-46"/>
        <w:jc w:val="center"/>
        <w:rPr>
          <w:b/>
          <w:bCs/>
          <w:sz w:val="28"/>
          <w:szCs w:val="28"/>
          <w:u w:val="single"/>
          <w:lang w:val="en-GB"/>
        </w:rPr>
      </w:pPr>
    </w:p>
    <w:p w14:paraId="76AB2256" w14:textId="0BC37D6A" w:rsidR="004B66F6" w:rsidRDefault="00937A1B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ANNEXE B: </w:t>
      </w:r>
      <w:r w:rsidR="004B66F6">
        <w:rPr>
          <w:sz w:val="28"/>
          <w:szCs w:val="28"/>
        </w:rPr>
        <w:t>FINANCIAL PROPOSAL FORM</w:t>
      </w:r>
    </w:p>
    <w:p w14:paraId="7FD7A84A" w14:textId="77777777" w:rsidR="00D5181F" w:rsidRDefault="00D5181F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5"/>
        <w:gridCol w:w="2501"/>
      </w:tblGrid>
      <w:tr w:rsidR="00D5181F" w:rsidRPr="005E64FE" w14:paraId="0E2E9BCF" w14:textId="77777777" w:rsidTr="00D5181F">
        <w:trPr>
          <w:trHeight w:val="347"/>
        </w:trPr>
        <w:tc>
          <w:tcPr>
            <w:tcW w:w="6515" w:type="dxa"/>
            <w:shd w:val="clear" w:color="auto" w:fill="0070C0"/>
            <w:vAlign w:val="center"/>
          </w:tcPr>
          <w:p w14:paraId="051C6DDB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NZ"/>
              </w:rPr>
            </w:pPr>
            <w:r w:rsidRPr="005E64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NZ"/>
              </w:rPr>
              <w:t>Task</w:t>
            </w:r>
          </w:p>
        </w:tc>
        <w:tc>
          <w:tcPr>
            <w:tcW w:w="2501" w:type="dxa"/>
            <w:shd w:val="clear" w:color="auto" w:fill="0070C0"/>
            <w:vAlign w:val="center"/>
          </w:tcPr>
          <w:p w14:paraId="2EAF17BE" w14:textId="3C9622B9" w:rsidR="00D5181F" w:rsidRPr="005E64FE" w:rsidRDefault="005E64FE" w:rsidP="00B86EA7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NZ"/>
              </w:rPr>
            </w:pPr>
            <w:r w:rsidRPr="005E64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NZ"/>
              </w:rPr>
              <w:t>Amount (USD)</w:t>
            </w:r>
          </w:p>
        </w:tc>
      </w:tr>
      <w:tr w:rsidR="00D5181F" w:rsidRPr="005E64FE" w14:paraId="233AC80D" w14:textId="77777777" w:rsidTr="00D5181F">
        <w:trPr>
          <w:trHeight w:val="422"/>
        </w:trPr>
        <w:tc>
          <w:tcPr>
            <w:tcW w:w="6515" w:type="dxa"/>
            <w:vAlign w:val="center"/>
          </w:tcPr>
          <w:p w14:paraId="2D1C0820" w14:textId="3668F96C" w:rsidR="00D5181F" w:rsidRPr="005E64FE" w:rsidRDefault="005E64F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Inception Report including inception meeting</w:t>
            </w:r>
          </w:p>
        </w:tc>
        <w:tc>
          <w:tcPr>
            <w:tcW w:w="2501" w:type="dxa"/>
            <w:vAlign w:val="center"/>
          </w:tcPr>
          <w:p w14:paraId="277088BF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  <w:tr w:rsidR="00D5181F" w:rsidRPr="005E64FE" w14:paraId="0CEDAD9B" w14:textId="77777777" w:rsidTr="00D5181F">
        <w:trPr>
          <w:trHeight w:val="414"/>
        </w:trPr>
        <w:tc>
          <w:tcPr>
            <w:tcW w:w="6515" w:type="dxa"/>
            <w:vAlign w:val="center"/>
          </w:tcPr>
          <w:p w14:paraId="21196B33" w14:textId="21CEE828" w:rsidR="00D5181F" w:rsidRPr="005E64FE" w:rsidRDefault="005E64F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 Draft Report</w:t>
            </w:r>
          </w:p>
        </w:tc>
        <w:tc>
          <w:tcPr>
            <w:tcW w:w="2501" w:type="dxa"/>
            <w:vAlign w:val="center"/>
          </w:tcPr>
          <w:p w14:paraId="67323A26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  <w:tr w:rsidR="005E64FE" w:rsidRPr="005E64FE" w14:paraId="1C950368" w14:textId="77777777" w:rsidTr="00D5181F">
        <w:trPr>
          <w:trHeight w:val="414"/>
        </w:trPr>
        <w:tc>
          <w:tcPr>
            <w:tcW w:w="6515" w:type="dxa"/>
            <w:vAlign w:val="center"/>
          </w:tcPr>
          <w:p w14:paraId="558DE84D" w14:textId="3CFEE964" w:rsidR="005E64FE" w:rsidRDefault="005E64F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 Final Report</w:t>
            </w:r>
          </w:p>
        </w:tc>
        <w:tc>
          <w:tcPr>
            <w:tcW w:w="2501" w:type="dxa"/>
            <w:vAlign w:val="center"/>
          </w:tcPr>
          <w:p w14:paraId="4015BA33" w14:textId="77777777" w:rsidR="005E64FE" w:rsidRPr="005E64FE" w:rsidRDefault="005E64F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  <w:tr w:rsidR="00D5181F" w:rsidRPr="005E64FE" w14:paraId="417E0E0D" w14:textId="77777777" w:rsidTr="00D5181F">
        <w:trPr>
          <w:trHeight w:val="414"/>
        </w:trPr>
        <w:tc>
          <w:tcPr>
            <w:tcW w:w="6515" w:type="dxa"/>
            <w:vAlign w:val="center"/>
          </w:tcPr>
          <w:p w14:paraId="02B75B45" w14:textId="243940BE" w:rsidR="00D5181F" w:rsidRPr="005E64FE" w:rsidRDefault="00D5181F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sz w:val="20"/>
                <w:szCs w:val="20"/>
                <w:u w:val="single"/>
                <w:lang w:val="en-NZ"/>
              </w:rPr>
            </w:pPr>
            <w:r w:rsidRPr="005E64FE">
              <w:rPr>
                <w:rFonts w:ascii="Arial" w:hAnsi="Arial" w:cs="Arial"/>
                <w:sz w:val="20"/>
                <w:szCs w:val="20"/>
                <w:u w:val="single"/>
                <w:lang w:val="en-NZ"/>
              </w:rPr>
              <w:t>SUB-TOTAL</w:t>
            </w:r>
            <w:r w:rsidR="005E64FE">
              <w:rPr>
                <w:rFonts w:ascii="Arial" w:hAnsi="Arial" w:cs="Arial"/>
                <w:sz w:val="20"/>
                <w:szCs w:val="20"/>
                <w:u w:val="single"/>
                <w:lang w:val="en-NZ"/>
              </w:rPr>
              <w:t xml:space="preserve"> #1</w:t>
            </w:r>
          </w:p>
        </w:tc>
        <w:tc>
          <w:tcPr>
            <w:tcW w:w="2501" w:type="dxa"/>
            <w:vAlign w:val="center"/>
          </w:tcPr>
          <w:p w14:paraId="4F350E9A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  <w:tr w:rsidR="00D5181F" w:rsidRPr="005E64FE" w14:paraId="2377F304" w14:textId="77777777" w:rsidTr="00D5181F">
        <w:trPr>
          <w:trHeight w:val="421"/>
        </w:trPr>
        <w:tc>
          <w:tcPr>
            <w:tcW w:w="6515" w:type="dxa"/>
            <w:vAlign w:val="center"/>
          </w:tcPr>
          <w:p w14:paraId="1529D912" w14:textId="49F9BD1C" w:rsidR="00D5181F" w:rsidRPr="005E64FE" w:rsidRDefault="005E64F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  <w:t>Option: Participation in the SWAP Steering Committee Meeting 2024</w:t>
            </w:r>
          </w:p>
        </w:tc>
        <w:tc>
          <w:tcPr>
            <w:tcW w:w="2501" w:type="dxa"/>
            <w:vAlign w:val="center"/>
          </w:tcPr>
          <w:p w14:paraId="01793F24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  <w:tr w:rsidR="00D5181F" w:rsidRPr="005E64FE" w14:paraId="15DFDAA3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23C80817" w14:textId="7C14B769" w:rsidR="00D5181F" w:rsidRPr="005E64FE" w:rsidRDefault="005E64FE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5E64FE">
              <w:rPr>
                <w:rFonts w:ascii="Arial" w:hAnsi="Arial" w:cs="Arial"/>
                <w:sz w:val="20"/>
                <w:szCs w:val="20"/>
                <w:u w:val="single"/>
                <w:lang w:val="en-NZ"/>
              </w:rPr>
              <w:t>SUB-TOTAL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NZ"/>
              </w:rPr>
              <w:t xml:space="preserve"> #2</w:t>
            </w:r>
          </w:p>
        </w:tc>
        <w:tc>
          <w:tcPr>
            <w:tcW w:w="2501" w:type="dxa"/>
            <w:vAlign w:val="center"/>
          </w:tcPr>
          <w:p w14:paraId="4BEB1DB7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  <w:tr w:rsidR="00D5181F" w:rsidRPr="005E64FE" w14:paraId="1940E168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F1CA0E8" w14:textId="061362FA" w:rsidR="00D5181F" w:rsidRPr="005E64FE" w:rsidRDefault="00D5181F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5E64FE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TOTAL </w:t>
            </w:r>
            <w:r w:rsidR="005E64FE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#1 + #2</w:t>
            </w:r>
          </w:p>
        </w:tc>
        <w:tc>
          <w:tcPr>
            <w:tcW w:w="2501" w:type="dxa"/>
            <w:vAlign w:val="center"/>
          </w:tcPr>
          <w:p w14:paraId="4855A8FE" w14:textId="77777777" w:rsidR="00D5181F" w:rsidRPr="005E64FE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</w:pPr>
          </w:p>
        </w:tc>
      </w:tr>
    </w:tbl>
    <w:p w14:paraId="6A315C8E" w14:textId="77777777" w:rsidR="00177657" w:rsidRDefault="00177657" w:rsidP="006B6CC1">
      <w:pPr>
        <w:ind w:left="567" w:right="827"/>
        <w:jc w:val="center"/>
        <w:rPr>
          <w:sz w:val="28"/>
          <w:szCs w:val="28"/>
        </w:rPr>
      </w:pPr>
    </w:p>
    <w:p w14:paraId="6D98EC84" w14:textId="410221AB" w:rsidR="00177657" w:rsidRDefault="00177657" w:rsidP="00E1549F">
      <w:pPr>
        <w:ind w:right="827"/>
        <w:rPr>
          <w:sz w:val="28"/>
          <w:szCs w:val="28"/>
        </w:rPr>
      </w:pPr>
      <w:r>
        <w:rPr>
          <w:sz w:val="28"/>
          <w:szCs w:val="28"/>
        </w:rPr>
        <w:t>Note – Travel</w:t>
      </w:r>
      <w:r w:rsidR="005E64FE">
        <w:rPr>
          <w:sz w:val="28"/>
          <w:szCs w:val="28"/>
        </w:rPr>
        <w:t xml:space="preserve"> Arrangements</w:t>
      </w:r>
    </w:p>
    <w:p w14:paraId="5E1BABC4" w14:textId="77777777" w:rsidR="005E64FE" w:rsidRDefault="005E64FE" w:rsidP="005E64FE">
      <w:pPr>
        <w:tabs>
          <w:tab w:val="left" w:pos="3045"/>
          <w:tab w:val="left" w:pos="3623"/>
        </w:tabs>
        <w:jc w:val="both"/>
        <w:rPr>
          <w:rFonts w:ascii="Arial" w:hAnsi="Arial" w:cs="Arial"/>
          <w:bCs/>
          <w:sz w:val="20"/>
          <w:szCs w:val="20"/>
        </w:rPr>
      </w:pPr>
      <w:r w:rsidRPr="002D011C">
        <w:rPr>
          <w:rFonts w:ascii="Arial" w:hAnsi="Arial" w:cs="Arial"/>
          <w:bCs/>
          <w:sz w:val="20"/>
          <w:szCs w:val="20"/>
        </w:rPr>
        <w:t xml:space="preserve">It is expected this activity will </w:t>
      </w:r>
      <w:r w:rsidRPr="002D011C">
        <w:rPr>
          <w:rFonts w:ascii="Arial" w:hAnsi="Arial" w:cs="Arial"/>
          <w:b/>
          <w:sz w:val="20"/>
          <w:szCs w:val="20"/>
        </w:rPr>
        <w:t>be undertaken remotely</w:t>
      </w:r>
      <w:r w:rsidRPr="002D011C">
        <w:rPr>
          <w:rFonts w:ascii="Arial" w:hAnsi="Arial" w:cs="Arial"/>
          <w:bCs/>
          <w:sz w:val="20"/>
          <w:szCs w:val="20"/>
        </w:rPr>
        <w:t>, and there will be no travel involved in the SWAP countries and territo</w:t>
      </w:r>
      <w:r>
        <w:rPr>
          <w:rFonts w:ascii="Arial" w:hAnsi="Arial" w:cs="Arial"/>
          <w:bCs/>
          <w:sz w:val="20"/>
          <w:szCs w:val="20"/>
        </w:rPr>
        <w:t>r</w:t>
      </w:r>
      <w:r w:rsidRPr="002D011C">
        <w:rPr>
          <w:rFonts w:ascii="Arial" w:hAnsi="Arial" w:cs="Arial"/>
          <w:bCs/>
          <w:sz w:val="20"/>
          <w:szCs w:val="20"/>
        </w:rPr>
        <w:t>y. If needed, introductions to SWAP country and territory representatives can be made.</w:t>
      </w:r>
    </w:p>
    <w:p w14:paraId="669977BC" w14:textId="5A5E0D74" w:rsidR="005E64FE" w:rsidRPr="002D011C" w:rsidRDefault="005E64FE" w:rsidP="005E64FE">
      <w:pPr>
        <w:tabs>
          <w:tab w:val="left" w:pos="3045"/>
          <w:tab w:val="left" w:pos="3623"/>
        </w:tabs>
        <w:jc w:val="both"/>
        <w:rPr>
          <w:rFonts w:ascii="Arial" w:hAnsi="Arial" w:cs="Arial"/>
          <w:bCs/>
          <w:sz w:val="20"/>
          <w:szCs w:val="20"/>
        </w:rPr>
      </w:pPr>
      <w:r w:rsidRPr="002D011C">
        <w:rPr>
          <w:rFonts w:ascii="Arial" w:hAnsi="Arial" w:cs="Arial"/>
          <w:bCs/>
          <w:sz w:val="20"/>
          <w:szCs w:val="20"/>
        </w:rPr>
        <w:t xml:space="preserve">However, if the contract is signed by then, the </w:t>
      </w:r>
      <w:r>
        <w:rPr>
          <w:rFonts w:ascii="Arial" w:hAnsi="Arial" w:cs="Arial"/>
          <w:bCs/>
          <w:sz w:val="20"/>
          <w:szCs w:val="20"/>
        </w:rPr>
        <w:t xml:space="preserve">evaluator </w:t>
      </w:r>
      <w:r w:rsidR="002257AE">
        <w:rPr>
          <w:rFonts w:ascii="Arial" w:hAnsi="Arial" w:cs="Arial"/>
          <w:bCs/>
          <w:sz w:val="20"/>
          <w:szCs w:val="20"/>
        </w:rPr>
        <w:t>would</w:t>
      </w:r>
      <w:r w:rsidRPr="002D011C">
        <w:rPr>
          <w:rFonts w:ascii="Arial" w:hAnsi="Arial" w:cs="Arial"/>
          <w:bCs/>
          <w:sz w:val="20"/>
          <w:szCs w:val="20"/>
        </w:rPr>
        <w:t xml:space="preserve"> be invited to </w:t>
      </w:r>
      <w:r>
        <w:rPr>
          <w:rFonts w:ascii="Arial" w:hAnsi="Arial" w:cs="Arial"/>
          <w:bCs/>
          <w:sz w:val="20"/>
          <w:szCs w:val="20"/>
        </w:rPr>
        <w:t>attend</w:t>
      </w:r>
      <w:r w:rsidRPr="002D011C">
        <w:rPr>
          <w:rFonts w:ascii="Arial" w:hAnsi="Arial" w:cs="Arial"/>
          <w:bCs/>
          <w:sz w:val="20"/>
          <w:szCs w:val="20"/>
        </w:rPr>
        <w:t xml:space="preserve"> the</w:t>
      </w:r>
      <w:r>
        <w:rPr>
          <w:rFonts w:ascii="Arial" w:hAnsi="Arial" w:cs="Arial"/>
          <w:bCs/>
          <w:sz w:val="20"/>
          <w:szCs w:val="20"/>
        </w:rPr>
        <w:t xml:space="preserve"> final Project St</w:t>
      </w:r>
      <w:r w:rsidRPr="002D011C">
        <w:rPr>
          <w:rFonts w:ascii="Arial" w:hAnsi="Arial" w:cs="Arial"/>
          <w:bCs/>
          <w:sz w:val="20"/>
          <w:szCs w:val="20"/>
        </w:rPr>
        <w:t xml:space="preserve">eering </w:t>
      </w:r>
      <w:r>
        <w:rPr>
          <w:rFonts w:ascii="Arial" w:hAnsi="Arial" w:cs="Arial"/>
          <w:bCs/>
          <w:sz w:val="20"/>
          <w:szCs w:val="20"/>
        </w:rPr>
        <w:t>C</w:t>
      </w:r>
      <w:r w:rsidRPr="002D011C">
        <w:rPr>
          <w:rFonts w:ascii="Arial" w:hAnsi="Arial" w:cs="Arial"/>
          <w:bCs/>
          <w:sz w:val="20"/>
          <w:szCs w:val="20"/>
        </w:rPr>
        <w:t xml:space="preserve">ommittee </w:t>
      </w:r>
      <w:r>
        <w:rPr>
          <w:rFonts w:ascii="Arial" w:hAnsi="Arial" w:cs="Arial"/>
          <w:bCs/>
          <w:sz w:val="20"/>
          <w:szCs w:val="20"/>
        </w:rPr>
        <w:t>M</w:t>
      </w:r>
      <w:r w:rsidRPr="002D011C">
        <w:rPr>
          <w:rFonts w:ascii="Arial" w:hAnsi="Arial" w:cs="Arial"/>
          <w:bCs/>
          <w:sz w:val="20"/>
          <w:szCs w:val="20"/>
        </w:rPr>
        <w:t>eeting scheduled for the week of 13</w:t>
      </w:r>
      <w:r w:rsidRPr="002D011C">
        <w:rPr>
          <w:rFonts w:ascii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011C">
        <w:rPr>
          <w:rFonts w:ascii="Arial" w:hAnsi="Arial" w:cs="Arial"/>
          <w:bCs/>
          <w:sz w:val="20"/>
          <w:szCs w:val="20"/>
        </w:rPr>
        <w:t xml:space="preserve">May </w:t>
      </w:r>
      <w:r>
        <w:rPr>
          <w:rFonts w:ascii="Arial" w:hAnsi="Arial" w:cs="Arial"/>
          <w:bCs/>
          <w:sz w:val="20"/>
          <w:szCs w:val="20"/>
        </w:rPr>
        <w:t xml:space="preserve">2024 </w:t>
      </w:r>
      <w:r w:rsidRPr="002D011C">
        <w:rPr>
          <w:rFonts w:ascii="Arial" w:hAnsi="Arial" w:cs="Arial"/>
          <w:bCs/>
          <w:sz w:val="20"/>
          <w:szCs w:val="20"/>
        </w:rPr>
        <w:t>in A</w:t>
      </w:r>
      <w:r>
        <w:rPr>
          <w:rFonts w:ascii="Arial" w:hAnsi="Arial" w:cs="Arial"/>
          <w:bCs/>
          <w:sz w:val="20"/>
          <w:szCs w:val="20"/>
        </w:rPr>
        <w:t>p</w:t>
      </w:r>
      <w:r w:rsidRPr="002D011C">
        <w:rPr>
          <w:rFonts w:ascii="Arial" w:hAnsi="Arial" w:cs="Arial"/>
          <w:bCs/>
          <w:sz w:val="20"/>
          <w:szCs w:val="20"/>
        </w:rPr>
        <w:t>ia</w:t>
      </w:r>
      <w:r>
        <w:rPr>
          <w:rFonts w:ascii="Arial" w:hAnsi="Arial" w:cs="Arial"/>
          <w:bCs/>
          <w:sz w:val="20"/>
          <w:szCs w:val="20"/>
        </w:rPr>
        <w:t>, Samoa</w:t>
      </w:r>
      <w:r w:rsidRPr="002D011C">
        <w:rPr>
          <w:rFonts w:ascii="Arial" w:hAnsi="Arial" w:cs="Arial"/>
          <w:bCs/>
          <w:sz w:val="20"/>
          <w:szCs w:val="20"/>
        </w:rPr>
        <w:t>. In this case</w:t>
      </w:r>
      <w:r w:rsidR="002D6EEC">
        <w:rPr>
          <w:rFonts w:ascii="Arial" w:hAnsi="Arial" w:cs="Arial"/>
          <w:bCs/>
          <w:sz w:val="20"/>
          <w:szCs w:val="20"/>
        </w:rPr>
        <w:t xml:space="preserve"> (Option)</w:t>
      </w:r>
      <w:r w:rsidRPr="002D011C">
        <w:rPr>
          <w:rFonts w:ascii="Arial" w:hAnsi="Arial" w:cs="Arial"/>
          <w:bCs/>
          <w:sz w:val="20"/>
          <w:szCs w:val="20"/>
        </w:rPr>
        <w:t>, the travel costs (air</w:t>
      </w:r>
      <w:r>
        <w:rPr>
          <w:rFonts w:ascii="Arial" w:hAnsi="Arial" w:cs="Arial"/>
          <w:bCs/>
          <w:sz w:val="20"/>
          <w:szCs w:val="20"/>
        </w:rPr>
        <w:t>fare</w:t>
      </w:r>
      <w:r w:rsidRPr="002D011C">
        <w:rPr>
          <w:rFonts w:ascii="Arial" w:hAnsi="Arial" w:cs="Arial"/>
          <w:bCs/>
          <w:sz w:val="20"/>
          <w:szCs w:val="20"/>
        </w:rPr>
        <w:t xml:space="preserve"> and accommodation) would be </w:t>
      </w:r>
      <w:r>
        <w:rPr>
          <w:rFonts w:ascii="Arial" w:hAnsi="Arial" w:cs="Arial"/>
          <w:bCs/>
          <w:sz w:val="20"/>
          <w:szCs w:val="20"/>
        </w:rPr>
        <w:t>covered</w:t>
      </w:r>
      <w:r w:rsidRPr="002D011C">
        <w:rPr>
          <w:rFonts w:ascii="Arial" w:hAnsi="Arial" w:cs="Arial"/>
          <w:bCs/>
          <w:sz w:val="20"/>
          <w:szCs w:val="20"/>
        </w:rPr>
        <w:t xml:space="preserve"> by SPREP via the SWAP project.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011C">
        <w:rPr>
          <w:rFonts w:ascii="Arial" w:hAnsi="Arial" w:cs="Arial"/>
          <w:bCs/>
          <w:sz w:val="20"/>
          <w:szCs w:val="20"/>
        </w:rPr>
        <w:t>The consultant will be responsible for his own travel insurance.</w:t>
      </w:r>
    </w:p>
    <w:p w14:paraId="06AA3465" w14:textId="77777777" w:rsidR="00177657" w:rsidRDefault="00177657" w:rsidP="00E1549F">
      <w:pPr>
        <w:ind w:left="567" w:right="827"/>
        <w:rPr>
          <w:sz w:val="28"/>
          <w:szCs w:val="28"/>
        </w:rPr>
      </w:pPr>
    </w:p>
    <w:sectPr w:rsidR="00177657" w:rsidSect="003B20CD">
      <w:headerReference w:type="default" r:id="rId6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3991" w14:textId="77777777" w:rsidR="003B20CD" w:rsidRDefault="003B20CD" w:rsidP="004B66F6">
      <w:pPr>
        <w:spacing w:before="0" w:after="0"/>
      </w:pPr>
      <w:r>
        <w:separator/>
      </w:r>
    </w:p>
  </w:endnote>
  <w:endnote w:type="continuationSeparator" w:id="0">
    <w:p w14:paraId="4C50A356" w14:textId="77777777" w:rsidR="003B20CD" w:rsidRDefault="003B20CD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8186" w14:textId="77777777" w:rsidR="003B20CD" w:rsidRDefault="003B20CD" w:rsidP="004B66F6">
      <w:pPr>
        <w:spacing w:before="0" w:after="0"/>
      </w:pPr>
      <w:r>
        <w:separator/>
      </w:r>
    </w:p>
  </w:footnote>
  <w:footnote w:type="continuationSeparator" w:id="0">
    <w:p w14:paraId="745A28D5" w14:textId="77777777" w:rsidR="003B20CD" w:rsidRDefault="003B20CD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47A" w14:textId="285ADD3E" w:rsidR="004B66F6" w:rsidRDefault="00693793">
    <w:pPr>
      <w:pStyle w:val="Header"/>
    </w:pPr>
    <w:r>
      <w:rPr>
        <w:rFonts w:ascii="Trebuchet MS" w:hAnsi="Trebuchet MS"/>
        <w:noProof/>
        <w:szCs w:val="24"/>
        <w:lang w:val="en-US"/>
      </w:rPr>
      <w:drawing>
        <wp:anchor distT="0" distB="0" distL="0" distR="0" simplePos="0" relativeHeight="251659264" behindDoc="1" locked="0" layoutInCell="0" allowOverlap="1" wp14:anchorId="40E6595B" wp14:editId="6888285A">
          <wp:simplePos x="0" y="0"/>
          <wp:positionH relativeFrom="page">
            <wp:posOffset>-7620</wp:posOffset>
          </wp:positionH>
          <wp:positionV relativeFrom="page">
            <wp:posOffset>-8255</wp:posOffset>
          </wp:positionV>
          <wp:extent cx="7560310" cy="1484630"/>
          <wp:effectExtent l="0" t="0" r="0" b="0"/>
          <wp:wrapNone/>
          <wp:docPr id="4" name="Image2" descr="sprep-proe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sprep-proe-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3" r="30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8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141474"/>
    <w:rsid w:val="00167DA8"/>
    <w:rsid w:val="00177657"/>
    <w:rsid w:val="001D76BB"/>
    <w:rsid w:val="00214BA9"/>
    <w:rsid w:val="002257AE"/>
    <w:rsid w:val="002D6EEC"/>
    <w:rsid w:val="002E7897"/>
    <w:rsid w:val="003B20CD"/>
    <w:rsid w:val="004170F9"/>
    <w:rsid w:val="0043676E"/>
    <w:rsid w:val="004535C0"/>
    <w:rsid w:val="00477FAC"/>
    <w:rsid w:val="004B66F6"/>
    <w:rsid w:val="004D1B2D"/>
    <w:rsid w:val="005759D3"/>
    <w:rsid w:val="005E64FE"/>
    <w:rsid w:val="0068578B"/>
    <w:rsid w:val="00693793"/>
    <w:rsid w:val="006B6CC1"/>
    <w:rsid w:val="007E511B"/>
    <w:rsid w:val="008E065F"/>
    <w:rsid w:val="008F183C"/>
    <w:rsid w:val="00937A1B"/>
    <w:rsid w:val="00943CEA"/>
    <w:rsid w:val="00947929"/>
    <w:rsid w:val="00AA340C"/>
    <w:rsid w:val="00D517AE"/>
    <w:rsid w:val="00D5181F"/>
    <w:rsid w:val="00E1549F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17765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57"/>
    <w:pPr>
      <w:spacing w:before="120" w:after="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Maraea S Pogi</cp:lastModifiedBy>
  <cp:revision>7</cp:revision>
  <dcterms:created xsi:type="dcterms:W3CDTF">2023-06-06T03:21:00Z</dcterms:created>
  <dcterms:modified xsi:type="dcterms:W3CDTF">2024-02-23T00:03:00Z</dcterms:modified>
</cp:coreProperties>
</file>