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50818" w14:textId="77777777" w:rsidR="00965E15" w:rsidRPr="00CF6424" w:rsidRDefault="00965E15" w:rsidP="00965E15">
      <w:pPr>
        <w:spacing w:before="240" w:after="240"/>
        <w:jc w:val="center"/>
        <w:rPr>
          <w:b/>
          <w:noProof/>
          <w:sz w:val="28"/>
          <w:szCs w:val="32"/>
        </w:rPr>
      </w:pPr>
      <w:r w:rsidRPr="00CF6424">
        <w:rPr>
          <w:b/>
          <w:noProof/>
          <w:sz w:val="28"/>
          <w:szCs w:val="32"/>
        </w:rPr>
        <w:t>Declaration o</w:t>
      </w:r>
      <w:r>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4234680C" w14:textId="77777777" w:rsidR="00965E15" w:rsidRDefault="00965E15" w:rsidP="00965E15">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65E15" w14:paraId="67FC14BB" w14:textId="77777777" w:rsidTr="00634624">
        <w:tc>
          <w:tcPr>
            <w:tcW w:w="3369" w:type="dxa"/>
            <w:shd w:val="clear" w:color="auto" w:fill="auto"/>
          </w:tcPr>
          <w:p w14:paraId="6F885A57" w14:textId="77777777" w:rsidR="00965E15" w:rsidRDefault="00965E15" w:rsidP="00634624">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5CFEAE78" w14:textId="77777777" w:rsidR="00965E15" w:rsidRDefault="00965E15" w:rsidP="00634624">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31781CF8" w14:textId="77777777" w:rsidR="00965E15" w:rsidRDefault="00965E15" w:rsidP="00634624">
            <w:pPr>
              <w:jc w:val="both"/>
              <w:rPr>
                <w:noProof/>
              </w:rPr>
            </w:pPr>
          </w:p>
        </w:tc>
      </w:tr>
      <w:tr w:rsidR="00965E15" w14:paraId="2798C335" w14:textId="77777777" w:rsidTr="00634624">
        <w:tc>
          <w:tcPr>
            <w:tcW w:w="3369" w:type="dxa"/>
            <w:shd w:val="clear" w:color="auto" w:fill="auto"/>
          </w:tcPr>
          <w:p w14:paraId="4CB44471" w14:textId="77777777" w:rsidR="00965E15" w:rsidRDefault="00965E15" w:rsidP="00634624">
            <w:pPr>
              <w:jc w:val="both"/>
            </w:pPr>
            <w:r w:rsidRPr="00892BCE">
              <w:t xml:space="preserve">ID or passport number: </w:t>
            </w:r>
          </w:p>
          <w:p w14:paraId="3AB27C37" w14:textId="77777777" w:rsidR="00965E15" w:rsidRDefault="00965E15" w:rsidP="00634624">
            <w:pPr>
              <w:jc w:val="both"/>
              <w:rPr>
                <w:noProof/>
              </w:rPr>
            </w:pPr>
          </w:p>
          <w:p w14:paraId="6C5429A9" w14:textId="77777777" w:rsidR="00965E15" w:rsidRPr="005E41BC" w:rsidRDefault="00965E15" w:rsidP="00634624">
            <w:pPr>
              <w:jc w:val="both"/>
              <w:rPr>
                <w:noProof/>
              </w:rPr>
            </w:pPr>
            <w:r>
              <w:rPr>
                <w:noProof/>
              </w:rPr>
              <w:t>(‘the person’)</w:t>
            </w:r>
          </w:p>
        </w:tc>
        <w:tc>
          <w:tcPr>
            <w:tcW w:w="6378" w:type="dxa"/>
            <w:shd w:val="clear" w:color="auto" w:fill="auto"/>
          </w:tcPr>
          <w:p w14:paraId="73CF36DF" w14:textId="77777777" w:rsidR="00965E15" w:rsidRPr="00583379" w:rsidRDefault="00965E15" w:rsidP="00634624">
            <w:pPr>
              <w:rPr>
                <w:b/>
              </w:rPr>
            </w:pPr>
            <w:r w:rsidRPr="00892BCE">
              <w:t>Full official name:</w:t>
            </w:r>
          </w:p>
          <w:p w14:paraId="6F78FA3A" w14:textId="77777777" w:rsidR="00965E15" w:rsidRPr="00892BCE" w:rsidRDefault="00965E15" w:rsidP="00634624">
            <w:r w:rsidRPr="00892BCE">
              <w:t>Official legal form</w:t>
            </w:r>
            <w:r>
              <w:t xml:space="preserve">: </w:t>
            </w:r>
          </w:p>
          <w:p w14:paraId="0F246E99" w14:textId="77777777" w:rsidR="00965E15" w:rsidRPr="00583379" w:rsidRDefault="00965E15" w:rsidP="00634624">
            <w:pPr>
              <w:rPr>
                <w:b/>
              </w:rPr>
            </w:pPr>
            <w:r w:rsidRPr="00892BCE">
              <w:t>Statutory registration number</w:t>
            </w:r>
            <w:r w:rsidRPr="00583379">
              <w:rPr>
                <w:b/>
              </w:rPr>
              <w:t xml:space="preserve">: </w:t>
            </w:r>
          </w:p>
          <w:p w14:paraId="03B389E0" w14:textId="77777777" w:rsidR="00965E15" w:rsidRPr="00583379" w:rsidRDefault="00965E15" w:rsidP="00634624">
            <w:pPr>
              <w:rPr>
                <w:b/>
              </w:rPr>
            </w:pPr>
            <w:r w:rsidRPr="00892BCE">
              <w:t>Full official address</w:t>
            </w:r>
            <w:r>
              <w:t xml:space="preserve">: </w:t>
            </w:r>
          </w:p>
          <w:p w14:paraId="19BD02E3" w14:textId="77777777" w:rsidR="00965E15" w:rsidRDefault="00965E15" w:rsidP="00634624">
            <w:r w:rsidRPr="00892BCE">
              <w:t>VAT registration number</w:t>
            </w:r>
            <w:r>
              <w:t xml:space="preserve">: </w:t>
            </w:r>
          </w:p>
          <w:p w14:paraId="03246DE6" w14:textId="77777777" w:rsidR="00965E15" w:rsidRDefault="00965E15" w:rsidP="00634624">
            <w:pPr>
              <w:rPr>
                <w:noProof/>
              </w:rPr>
            </w:pPr>
            <w:r>
              <w:rPr>
                <w:noProof/>
              </w:rPr>
              <w:t>(‘the person’)</w:t>
            </w:r>
          </w:p>
        </w:tc>
      </w:tr>
    </w:tbl>
    <w:p w14:paraId="2A859A01" w14:textId="77777777" w:rsidR="00965E15" w:rsidRDefault="00965E15" w:rsidP="00965E15">
      <w:pPr>
        <w:jc w:val="both"/>
        <w:rPr>
          <w:i/>
        </w:rPr>
      </w:pPr>
    </w:p>
    <w:p w14:paraId="6271E95C" w14:textId="77777777" w:rsidR="00965E15" w:rsidRDefault="00965E15" w:rsidP="00965E15">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71255D3" w14:textId="77777777" w:rsidR="00965E15" w:rsidRDefault="00965E15" w:rsidP="00965E1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65E15" w:rsidRPr="000C2EE8" w14:paraId="0A2AB19D" w14:textId="77777777" w:rsidTr="00634624">
        <w:tc>
          <w:tcPr>
            <w:tcW w:w="2802" w:type="dxa"/>
            <w:shd w:val="clear" w:color="auto" w:fill="auto"/>
          </w:tcPr>
          <w:p w14:paraId="25734C9B" w14:textId="77777777" w:rsidR="00965E15" w:rsidRPr="00BF7F29" w:rsidRDefault="00965E15" w:rsidP="00634624">
            <w:pPr>
              <w:spacing w:before="100" w:beforeAutospacing="1" w:after="100" w:afterAutospacing="1"/>
              <w:jc w:val="center"/>
              <w:rPr>
                <w:b/>
              </w:rPr>
            </w:pPr>
            <w:r>
              <w:rPr>
                <w:b/>
              </w:rPr>
              <w:t>Date of the declaration</w:t>
            </w:r>
          </w:p>
        </w:tc>
        <w:tc>
          <w:tcPr>
            <w:tcW w:w="6662" w:type="dxa"/>
            <w:shd w:val="clear" w:color="auto" w:fill="auto"/>
          </w:tcPr>
          <w:p w14:paraId="534E9EB0"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6BCD62BE" w14:textId="77777777" w:rsidTr="00634624">
        <w:tc>
          <w:tcPr>
            <w:tcW w:w="2802" w:type="dxa"/>
            <w:shd w:val="clear" w:color="auto" w:fill="auto"/>
          </w:tcPr>
          <w:p w14:paraId="22EC8830" w14:textId="77777777" w:rsidR="00965E15" w:rsidRPr="00AE5C0E" w:rsidRDefault="00965E15" w:rsidP="00634624">
            <w:pPr>
              <w:spacing w:before="100" w:beforeAutospacing="1" w:after="100" w:afterAutospacing="1"/>
            </w:pPr>
          </w:p>
        </w:tc>
        <w:tc>
          <w:tcPr>
            <w:tcW w:w="6662" w:type="dxa"/>
            <w:shd w:val="clear" w:color="auto" w:fill="auto"/>
          </w:tcPr>
          <w:p w14:paraId="67315D18" w14:textId="77777777" w:rsidR="00965E15" w:rsidRDefault="00965E15" w:rsidP="00634624">
            <w:pPr>
              <w:spacing w:before="100" w:beforeAutospacing="1" w:after="100" w:afterAutospacing="1"/>
            </w:pPr>
          </w:p>
        </w:tc>
      </w:tr>
    </w:tbl>
    <w:p w14:paraId="41520AFC" w14:textId="77777777" w:rsidR="00965E15" w:rsidRDefault="00965E15" w:rsidP="00965E15"/>
    <w:p w14:paraId="037C380C" w14:textId="77777777" w:rsidR="00965E15" w:rsidRPr="00A27E6C" w:rsidRDefault="00965E15" w:rsidP="00965E15">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965E15" w14:paraId="5292715C" w14:textId="77777777" w:rsidTr="00634624">
        <w:tc>
          <w:tcPr>
            <w:tcW w:w="8236" w:type="dxa"/>
            <w:shd w:val="clear" w:color="auto" w:fill="auto"/>
          </w:tcPr>
          <w:p w14:paraId="4F7ED74F"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5016DF52" w14:textId="77777777" w:rsidR="00965E15" w:rsidRDefault="00965E15" w:rsidP="00634624">
            <w:pPr>
              <w:spacing w:before="40" w:after="40"/>
              <w:ind w:left="142"/>
              <w:jc w:val="both"/>
              <w:rPr>
                <w:noProof/>
              </w:rPr>
            </w:pPr>
            <w:r>
              <w:rPr>
                <w:noProof/>
              </w:rPr>
              <w:t>YES</w:t>
            </w:r>
          </w:p>
        </w:tc>
        <w:tc>
          <w:tcPr>
            <w:tcW w:w="707" w:type="dxa"/>
            <w:shd w:val="clear" w:color="auto" w:fill="auto"/>
          </w:tcPr>
          <w:p w14:paraId="18821CAA" w14:textId="77777777" w:rsidR="00965E15" w:rsidRDefault="00965E15" w:rsidP="00634624">
            <w:pPr>
              <w:spacing w:before="40" w:after="40"/>
              <w:ind w:left="142"/>
              <w:jc w:val="both"/>
              <w:rPr>
                <w:noProof/>
              </w:rPr>
            </w:pPr>
            <w:r>
              <w:rPr>
                <w:noProof/>
              </w:rPr>
              <w:t>NO</w:t>
            </w:r>
          </w:p>
        </w:tc>
      </w:tr>
      <w:tr w:rsidR="00965E15" w14:paraId="27853180" w14:textId="77777777" w:rsidTr="00634624">
        <w:tc>
          <w:tcPr>
            <w:tcW w:w="8236" w:type="dxa"/>
            <w:shd w:val="clear" w:color="auto" w:fill="auto"/>
          </w:tcPr>
          <w:p w14:paraId="5713BAD3"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2AF319C7" w14:textId="77777777" w:rsidR="00965E15" w:rsidRDefault="00965E15" w:rsidP="00634624">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4B30BB1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6148E0F" w14:textId="77777777" w:rsidTr="00634624">
        <w:tc>
          <w:tcPr>
            <w:tcW w:w="8236" w:type="dxa"/>
            <w:shd w:val="clear" w:color="auto" w:fill="auto"/>
          </w:tcPr>
          <w:p w14:paraId="3BC8C96D"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20E430D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17130C">
              <w:rPr>
                <w:noProof/>
              </w:rPr>
            </w:r>
            <w:r w:rsidR="0017130C">
              <w:rPr>
                <w:noProof/>
              </w:rPr>
              <w:fldChar w:fldCharType="separate"/>
            </w:r>
            <w:r>
              <w:rPr>
                <w:noProof/>
              </w:rPr>
              <w:fldChar w:fldCharType="end"/>
            </w:r>
            <w:bookmarkEnd w:id="0"/>
          </w:p>
        </w:tc>
        <w:tc>
          <w:tcPr>
            <w:tcW w:w="707" w:type="dxa"/>
            <w:shd w:val="clear" w:color="auto" w:fill="auto"/>
          </w:tcPr>
          <w:p w14:paraId="6D32849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565C9F13" w14:textId="77777777" w:rsidTr="00634624">
        <w:tc>
          <w:tcPr>
            <w:tcW w:w="8236" w:type="dxa"/>
            <w:shd w:val="clear" w:color="auto" w:fill="auto"/>
          </w:tcPr>
          <w:p w14:paraId="1D9AB82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5396AC4B" w14:textId="77777777" w:rsidR="00965E15" w:rsidRDefault="00965E15" w:rsidP="00634624">
            <w:pPr>
              <w:spacing w:before="240" w:after="120"/>
              <w:jc w:val="both"/>
              <w:rPr>
                <w:noProof/>
              </w:rPr>
            </w:pPr>
          </w:p>
        </w:tc>
      </w:tr>
      <w:tr w:rsidR="00965E15" w14:paraId="035CD8B4" w14:textId="77777777" w:rsidTr="00634624">
        <w:tc>
          <w:tcPr>
            <w:tcW w:w="8236" w:type="dxa"/>
            <w:shd w:val="clear" w:color="auto" w:fill="auto"/>
          </w:tcPr>
          <w:p w14:paraId="3A4F6FF9"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lastRenderedPageBreak/>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148775A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2BB96B7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611374E9" w14:textId="77777777" w:rsidTr="00634624">
        <w:tc>
          <w:tcPr>
            <w:tcW w:w="8236" w:type="dxa"/>
            <w:shd w:val="clear" w:color="auto" w:fill="auto"/>
          </w:tcPr>
          <w:p w14:paraId="1BF21968"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31C55E1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7BB81BE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021BAC97" w14:textId="77777777" w:rsidTr="00634624">
        <w:tc>
          <w:tcPr>
            <w:tcW w:w="8236" w:type="dxa"/>
            <w:shd w:val="clear" w:color="auto" w:fill="auto"/>
          </w:tcPr>
          <w:p w14:paraId="4279028F"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376401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12A2943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45DECFC" w14:textId="77777777" w:rsidTr="00634624">
        <w:tc>
          <w:tcPr>
            <w:tcW w:w="8236" w:type="dxa"/>
            <w:shd w:val="clear" w:color="auto" w:fill="auto"/>
          </w:tcPr>
          <w:p w14:paraId="7AB8C457"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1D51333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4F27C92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6C1FEADD" w14:textId="77777777" w:rsidTr="00634624">
        <w:tc>
          <w:tcPr>
            <w:tcW w:w="8236" w:type="dxa"/>
            <w:shd w:val="clear" w:color="auto" w:fill="auto"/>
          </w:tcPr>
          <w:p w14:paraId="62596260"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(v) attempting to obtain confidential information that may confer upon it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1A1FED1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55D8757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65592551" w14:textId="77777777" w:rsidTr="00634624">
        <w:tc>
          <w:tcPr>
            <w:tcW w:w="8236" w:type="dxa"/>
            <w:shd w:val="clear" w:color="auto" w:fill="auto"/>
          </w:tcPr>
          <w:p w14:paraId="1F8211CE" w14:textId="77777777" w:rsidR="00965E15" w:rsidRPr="00216263" w:rsidRDefault="00965E15" w:rsidP="00965E15">
            <w:pPr>
              <w:pStyle w:val="Text1"/>
              <w:numPr>
                <w:ilvl w:val="0"/>
                <w:numId w:val="19"/>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5BF1C681" w14:textId="77777777" w:rsidR="00965E15" w:rsidRDefault="00965E15" w:rsidP="00634624">
            <w:pPr>
              <w:spacing w:before="240" w:after="120"/>
              <w:jc w:val="both"/>
              <w:rPr>
                <w:noProof/>
              </w:rPr>
            </w:pPr>
          </w:p>
        </w:tc>
      </w:tr>
      <w:tr w:rsidR="00965E15" w14:paraId="0361E917" w14:textId="77777777" w:rsidTr="00634624">
        <w:tc>
          <w:tcPr>
            <w:tcW w:w="8236" w:type="dxa"/>
            <w:shd w:val="clear" w:color="auto" w:fill="auto"/>
          </w:tcPr>
          <w:p w14:paraId="27F98831"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w:t>
            </w:r>
            <w:proofErr w:type="spellStart"/>
            <w:r w:rsidRPr="00216263">
              <w:rPr>
                <w:rFonts w:asciiTheme="minorHAnsi" w:hAnsiTheme="minorHAnsi" w:cstheme="minorHAnsi"/>
                <w:color w:val="000000"/>
                <w:sz w:val="22"/>
                <w:szCs w:val="22"/>
              </w:rPr>
              <w:t>i</w:t>
            </w:r>
            <w:proofErr w:type="spellEnd"/>
            <w:r w:rsidRPr="00216263">
              <w:rPr>
                <w:rFonts w:asciiTheme="minorHAnsi" w:hAnsiTheme="minorHAnsi" w:cstheme="minorHAnsi"/>
                <w:color w:val="000000"/>
                <w:sz w:val="22"/>
                <w:szCs w:val="22"/>
              </w:rPr>
              <w:t>)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2AEA8BA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02FB727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44407A0" w14:textId="77777777" w:rsidTr="00634624">
        <w:tc>
          <w:tcPr>
            <w:tcW w:w="8236" w:type="dxa"/>
            <w:shd w:val="clear" w:color="auto" w:fill="auto"/>
          </w:tcPr>
          <w:p w14:paraId="5E37C5E3"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1CAF7E9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1397DE9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8EA80CD" w14:textId="77777777" w:rsidTr="00634624">
        <w:tc>
          <w:tcPr>
            <w:tcW w:w="8236" w:type="dxa"/>
            <w:shd w:val="clear" w:color="auto" w:fill="auto"/>
          </w:tcPr>
          <w:p w14:paraId="00E54FC2"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783175A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1C7B800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6E2A01B" w14:textId="77777777" w:rsidTr="00634624">
        <w:tc>
          <w:tcPr>
            <w:tcW w:w="8236" w:type="dxa"/>
            <w:shd w:val="clear" w:color="auto" w:fill="auto"/>
          </w:tcPr>
          <w:p w14:paraId="675C1B87" w14:textId="77777777" w:rsidR="00965E15" w:rsidRPr="00216263" w:rsidRDefault="00965E15" w:rsidP="00634624">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5398E8D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2C28DE3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6AC7383" w14:textId="77777777" w:rsidTr="00634624">
        <w:tc>
          <w:tcPr>
            <w:tcW w:w="8236" w:type="dxa"/>
            <w:shd w:val="clear" w:color="auto" w:fill="auto"/>
          </w:tcPr>
          <w:p w14:paraId="2F24EC66" w14:textId="77777777" w:rsidR="00965E15" w:rsidRPr="00216263" w:rsidRDefault="00965E15" w:rsidP="00634624">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or inciting, aiding, abetting or attempting to commit such offences;</w:t>
            </w:r>
            <w:bookmarkEnd w:id="19"/>
          </w:p>
        </w:tc>
        <w:tc>
          <w:tcPr>
            <w:tcW w:w="812" w:type="dxa"/>
            <w:shd w:val="clear" w:color="auto" w:fill="auto"/>
          </w:tcPr>
          <w:p w14:paraId="368DCE8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793A250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1618B24" w14:textId="77777777" w:rsidTr="00634624">
        <w:tc>
          <w:tcPr>
            <w:tcW w:w="8236" w:type="dxa"/>
            <w:shd w:val="clear" w:color="auto" w:fill="auto"/>
          </w:tcPr>
          <w:p w14:paraId="60D831F1"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Pr>
                <w:rFonts w:asciiTheme="minorHAnsi" w:hAnsiTheme="minorHAnsi" w:cstheme="minorHAnsi"/>
                <w:bCs/>
                <w:iCs/>
                <w:sz w:val="22"/>
                <w:szCs w:val="22"/>
              </w:rPr>
              <w:t>child related offences</w:t>
            </w:r>
            <w:r w:rsidRPr="00216263">
              <w:rPr>
                <w:rFonts w:asciiTheme="minorHAnsi" w:hAnsiTheme="minorHAnsi" w:cstheme="minorHAnsi"/>
                <w:bCs/>
                <w:iCs/>
                <w:sz w:val="22"/>
                <w:szCs w:val="22"/>
              </w:rPr>
              <w:t xml:space="preserve"> </w:t>
            </w:r>
            <w:r>
              <w:rPr>
                <w:rFonts w:asciiTheme="minorHAnsi" w:hAnsiTheme="minorHAnsi" w:cstheme="minorHAnsi"/>
                <w:bCs/>
                <w:iCs/>
                <w:sz w:val="22"/>
                <w:szCs w:val="22"/>
              </w:rPr>
              <w:t xml:space="preserve">or </w:t>
            </w:r>
            <w:r w:rsidRPr="00216263">
              <w:rPr>
                <w:rFonts w:asciiTheme="minorHAnsi" w:hAnsiTheme="minorHAnsi" w:cstheme="minorHAnsi"/>
                <w:bCs/>
                <w:iCs/>
                <w:sz w:val="22"/>
                <w:szCs w:val="22"/>
              </w:rPr>
              <w:t>child labour</w:t>
            </w:r>
            <w:r>
              <w:rPr>
                <w:rFonts w:asciiTheme="minorHAnsi" w:hAnsiTheme="minorHAnsi" w:cstheme="minorHAnsi"/>
                <w:bCs/>
                <w:iCs/>
                <w:sz w:val="22"/>
                <w:szCs w:val="22"/>
              </w:rPr>
              <w:t xml:space="preserve"> </w:t>
            </w:r>
            <w:r w:rsidRPr="00216263">
              <w:rPr>
                <w:rFonts w:asciiTheme="minorHAnsi" w:hAnsiTheme="minorHAnsi" w:cstheme="minorHAnsi"/>
                <w:bCs/>
                <w:iCs/>
                <w:sz w:val="22"/>
                <w:szCs w:val="22"/>
              </w:rPr>
              <w:t>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100E41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7A3AEB4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5BB4F758" w14:textId="77777777" w:rsidTr="00634624">
        <w:tc>
          <w:tcPr>
            <w:tcW w:w="8236" w:type="dxa"/>
            <w:shd w:val="clear" w:color="auto" w:fill="auto"/>
          </w:tcPr>
          <w:p w14:paraId="5623B753" w14:textId="77777777" w:rsidR="00965E15" w:rsidRPr="00216263" w:rsidRDefault="00965E15" w:rsidP="00634624">
            <w:pPr>
              <w:pStyle w:val="Text1"/>
              <w:spacing w:before="40" w:after="40"/>
              <w:ind w:left="709"/>
              <w:rPr>
                <w:rFonts w:asciiTheme="minorHAnsi" w:hAnsiTheme="minorHAnsi" w:cstheme="minorHAnsi"/>
                <w:color w:val="000000"/>
                <w:sz w:val="22"/>
                <w:szCs w:val="22"/>
              </w:rPr>
            </w:pPr>
            <w:r>
              <w:rPr>
                <w:rFonts w:asciiTheme="minorHAnsi" w:hAnsiTheme="minorHAnsi" w:cstheme="minorHAnsi"/>
                <w:color w:val="000000"/>
                <w:sz w:val="22"/>
                <w:szCs w:val="22"/>
              </w:rPr>
              <w:t>(vii) creating a shell company and being a shell company.</w:t>
            </w:r>
          </w:p>
        </w:tc>
        <w:tc>
          <w:tcPr>
            <w:tcW w:w="812" w:type="dxa"/>
            <w:shd w:val="clear" w:color="auto" w:fill="auto"/>
          </w:tcPr>
          <w:p w14:paraId="333CBD6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3C3BC30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D96D573" w14:textId="77777777" w:rsidTr="00634624">
        <w:tc>
          <w:tcPr>
            <w:tcW w:w="8236" w:type="dxa"/>
            <w:shd w:val="clear" w:color="auto" w:fill="auto"/>
          </w:tcPr>
          <w:p w14:paraId="4881E01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397E5BC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3F94769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211B1366" w14:textId="77777777" w:rsidTr="00634624">
        <w:tc>
          <w:tcPr>
            <w:tcW w:w="8236" w:type="dxa"/>
            <w:shd w:val="clear" w:color="auto" w:fill="auto"/>
          </w:tcPr>
          <w:p w14:paraId="5E877F02" w14:textId="77777777" w:rsidR="00965E15" w:rsidRPr="00216263" w:rsidRDefault="00965E15" w:rsidP="00965E15">
            <w:pPr>
              <w:pStyle w:val="Text1"/>
              <w:numPr>
                <w:ilvl w:val="0"/>
                <w:numId w:val="19"/>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0F204E9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6573A8A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5C8351C1" w14:textId="77777777" w:rsidTr="00634624">
        <w:tc>
          <w:tcPr>
            <w:tcW w:w="8236" w:type="dxa"/>
            <w:shd w:val="clear" w:color="auto" w:fill="auto"/>
          </w:tcPr>
          <w:p w14:paraId="26C3F105"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460212C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58980EF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4E3E65B8" w14:textId="77777777" w:rsidTr="00634624">
        <w:tc>
          <w:tcPr>
            <w:tcW w:w="8236" w:type="dxa"/>
            <w:shd w:val="clear" w:color="auto" w:fill="auto"/>
          </w:tcPr>
          <w:p w14:paraId="34E43726"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32248512"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707" w:type="dxa"/>
            <w:shd w:val="clear" w:color="auto" w:fill="auto"/>
          </w:tcPr>
          <w:p w14:paraId="3E11DC5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89AE8B8" w14:textId="77777777" w:rsidTr="00634624">
        <w:trPr>
          <w:trHeight w:val="3953"/>
        </w:trPr>
        <w:tc>
          <w:tcPr>
            <w:tcW w:w="8236" w:type="dxa"/>
            <w:shd w:val="clear" w:color="auto" w:fill="auto"/>
          </w:tcPr>
          <w:p w14:paraId="4AD13090" w14:textId="77777777" w:rsidR="00965E15" w:rsidRPr="00216263" w:rsidRDefault="00965E15" w:rsidP="00965E15">
            <w:pPr>
              <w:pStyle w:val="Text1"/>
              <w:numPr>
                <w:ilvl w:val="0"/>
                <w:numId w:val="19"/>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5640F3A8" w14:textId="77777777" w:rsidR="00965E15" w:rsidRPr="00216263" w:rsidRDefault="00965E15" w:rsidP="00634624">
            <w:pPr>
              <w:pStyle w:val="Text1"/>
              <w:spacing w:before="40" w:after="40"/>
              <w:ind w:left="360"/>
              <w:rPr>
                <w:rFonts w:asciiTheme="minorHAnsi" w:hAnsiTheme="minorHAnsi" w:cstheme="minorHAnsi"/>
                <w:color w:val="000000"/>
                <w:sz w:val="22"/>
                <w:szCs w:val="22"/>
              </w:rPr>
            </w:pPr>
          </w:p>
          <w:p w14:paraId="14D04ABA"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facts established in the context of audits or investigations carried out by a Court or the internal auditor, or any other check, audit or control performed under the responsibility of SPREP;</w:t>
            </w:r>
          </w:p>
          <w:p w14:paraId="15CF7B1E"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non-final judgments or non-final administrative decisions which may include disciplinary measures taken by the competent supervisory body responsible for the verification of the application of standards of professional ethics;</w:t>
            </w:r>
          </w:p>
          <w:p w14:paraId="53B2F48E"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tasks;</w:t>
            </w:r>
          </w:p>
          <w:p w14:paraId="135CD071" w14:textId="77777777" w:rsidR="00965E15" w:rsidRPr="00216263" w:rsidRDefault="00965E15" w:rsidP="00965E15">
            <w:pPr>
              <w:pStyle w:val="Text1"/>
              <w:numPr>
                <w:ilvl w:val="0"/>
                <w:numId w:val="21"/>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6AB54542" w14:textId="77777777" w:rsidR="00965E15" w:rsidRPr="00583379" w:rsidRDefault="00965E15" w:rsidP="00965E15">
            <w:pPr>
              <w:pStyle w:val="Text1"/>
              <w:numPr>
                <w:ilvl w:val="0"/>
                <w:numId w:val="21"/>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472ED662" w14:textId="77777777" w:rsidR="00965E15" w:rsidRDefault="00965E15" w:rsidP="00634624">
            <w:pPr>
              <w:spacing w:before="240" w:after="120"/>
              <w:jc w:val="both"/>
              <w:rPr>
                <w:noProof/>
              </w:rPr>
            </w:pPr>
          </w:p>
          <w:p w14:paraId="6AE34C8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2CFC02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5B09324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0ADBF65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338621D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3BCC7AA9" w14:textId="77777777" w:rsidR="00965E15" w:rsidRDefault="00965E15" w:rsidP="00634624">
            <w:pPr>
              <w:spacing w:before="240" w:after="120"/>
              <w:jc w:val="both"/>
              <w:rPr>
                <w:noProof/>
              </w:rPr>
            </w:pPr>
          </w:p>
        </w:tc>
        <w:tc>
          <w:tcPr>
            <w:tcW w:w="707" w:type="dxa"/>
            <w:shd w:val="clear" w:color="auto" w:fill="auto"/>
          </w:tcPr>
          <w:p w14:paraId="2E8A8B86" w14:textId="77777777" w:rsidR="00965E15" w:rsidRDefault="00965E15" w:rsidP="00634624">
            <w:pPr>
              <w:spacing w:before="240" w:after="120"/>
              <w:jc w:val="both"/>
              <w:rPr>
                <w:noProof/>
              </w:rPr>
            </w:pPr>
          </w:p>
          <w:p w14:paraId="14175D4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5F61950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3D9FF90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3D214B3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414EAC3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p w14:paraId="02314E71" w14:textId="77777777" w:rsidR="00965E15" w:rsidRDefault="00965E15" w:rsidP="00634624">
            <w:pPr>
              <w:spacing w:before="240" w:after="120"/>
              <w:jc w:val="both"/>
              <w:rPr>
                <w:noProof/>
              </w:rPr>
            </w:pPr>
          </w:p>
        </w:tc>
      </w:tr>
    </w:tbl>
    <w:p w14:paraId="29DEA002" w14:textId="77777777" w:rsidR="00965E15" w:rsidRDefault="00965E15" w:rsidP="00965E15"/>
    <w:p w14:paraId="5CAD29F1" w14:textId="77777777" w:rsidR="00965E15" w:rsidRPr="00A27E6C" w:rsidRDefault="00965E15" w:rsidP="00965E15">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7A2EEBBF" w14:textId="77777777" w:rsidR="00965E15" w:rsidRPr="0024225B" w:rsidRDefault="00965E15" w:rsidP="00965E15">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0005BB80" w14:textId="77777777" w:rsidTr="00634624">
        <w:tc>
          <w:tcPr>
            <w:tcW w:w="7747" w:type="dxa"/>
            <w:shd w:val="clear" w:color="auto" w:fill="auto"/>
            <w:vAlign w:val="center"/>
          </w:tcPr>
          <w:p w14:paraId="7516FF7C"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e.g.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0E54370E" w14:textId="77777777" w:rsidR="00965E15" w:rsidRDefault="00965E15" w:rsidP="00634624">
            <w:pPr>
              <w:spacing w:before="240" w:after="120"/>
              <w:jc w:val="both"/>
              <w:rPr>
                <w:noProof/>
              </w:rPr>
            </w:pPr>
            <w:r>
              <w:rPr>
                <w:noProof/>
              </w:rPr>
              <w:t>YES</w:t>
            </w:r>
          </w:p>
        </w:tc>
        <w:tc>
          <w:tcPr>
            <w:tcW w:w="614" w:type="dxa"/>
            <w:shd w:val="clear" w:color="auto" w:fill="auto"/>
          </w:tcPr>
          <w:p w14:paraId="4FD0C311" w14:textId="77777777" w:rsidR="00965E15" w:rsidRDefault="00965E15" w:rsidP="00634624">
            <w:pPr>
              <w:spacing w:before="240" w:after="120"/>
              <w:jc w:val="both"/>
              <w:rPr>
                <w:noProof/>
              </w:rPr>
            </w:pPr>
            <w:r>
              <w:rPr>
                <w:noProof/>
              </w:rPr>
              <w:t>NO</w:t>
            </w:r>
          </w:p>
        </w:tc>
        <w:tc>
          <w:tcPr>
            <w:tcW w:w="630" w:type="dxa"/>
          </w:tcPr>
          <w:p w14:paraId="16D838BF" w14:textId="77777777" w:rsidR="00965E15" w:rsidRDefault="00965E15" w:rsidP="00634624">
            <w:pPr>
              <w:spacing w:before="240" w:after="120"/>
              <w:jc w:val="both"/>
              <w:rPr>
                <w:noProof/>
              </w:rPr>
            </w:pPr>
            <w:r>
              <w:rPr>
                <w:noProof/>
              </w:rPr>
              <w:t>N/A</w:t>
            </w:r>
          </w:p>
        </w:tc>
      </w:tr>
      <w:tr w:rsidR="00965E15" w14:paraId="44DEDA7A" w14:textId="77777777" w:rsidTr="00634624">
        <w:tc>
          <w:tcPr>
            <w:tcW w:w="7747" w:type="dxa"/>
            <w:shd w:val="clear" w:color="auto" w:fill="auto"/>
            <w:vAlign w:val="center"/>
          </w:tcPr>
          <w:p w14:paraId="76F6D53E"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765FB11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501AD4C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3062443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664E0CC5" w14:textId="77777777" w:rsidTr="00634624">
        <w:tc>
          <w:tcPr>
            <w:tcW w:w="7747" w:type="dxa"/>
            <w:shd w:val="clear" w:color="auto" w:fill="auto"/>
            <w:vAlign w:val="center"/>
          </w:tcPr>
          <w:p w14:paraId="34704985"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52C14CE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5CB1299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13956B9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7487592F" w14:textId="77777777" w:rsidTr="00634624">
        <w:tc>
          <w:tcPr>
            <w:tcW w:w="7747" w:type="dxa"/>
            <w:shd w:val="clear" w:color="auto" w:fill="auto"/>
            <w:vAlign w:val="center"/>
          </w:tcPr>
          <w:p w14:paraId="5B4CDE3F"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EF6FA5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53EDD0B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656BD2EA"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ADE4FBA" w14:textId="77777777" w:rsidTr="00634624">
        <w:tc>
          <w:tcPr>
            <w:tcW w:w="7747" w:type="dxa"/>
            <w:shd w:val="clear" w:color="auto" w:fill="auto"/>
            <w:vAlign w:val="center"/>
          </w:tcPr>
          <w:p w14:paraId="07755BC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3C4EDD4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388C9E0D"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059832B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84B4C66" w14:textId="77777777" w:rsidTr="00634624">
        <w:tc>
          <w:tcPr>
            <w:tcW w:w="7747" w:type="dxa"/>
            <w:shd w:val="clear" w:color="auto" w:fill="auto"/>
            <w:vAlign w:val="center"/>
          </w:tcPr>
          <w:p w14:paraId="7DA563B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4CEF58D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152F3527"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4F16C9D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6F0C4EA4" w14:textId="77777777" w:rsidTr="00634624">
        <w:tc>
          <w:tcPr>
            <w:tcW w:w="7747" w:type="dxa"/>
            <w:shd w:val="clear" w:color="auto" w:fill="auto"/>
            <w:vAlign w:val="center"/>
          </w:tcPr>
          <w:p w14:paraId="3BBEBD78"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1F778B5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4828A3C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5A1EEA38"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522CBCAA" w14:textId="77777777" w:rsidTr="00634624">
        <w:tc>
          <w:tcPr>
            <w:tcW w:w="7747" w:type="dxa"/>
            <w:shd w:val="clear" w:color="auto" w:fill="auto"/>
            <w:vAlign w:val="center"/>
          </w:tcPr>
          <w:p w14:paraId="4631E3C9"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2FC79C1"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shd w:val="clear" w:color="auto" w:fill="auto"/>
            <w:vAlign w:val="center"/>
          </w:tcPr>
          <w:p w14:paraId="2AD78B86"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2A10662E"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bl>
    <w:p w14:paraId="194EAA50" w14:textId="77777777" w:rsidR="00965E15" w:rsidRPr="00A27E6C" w:rsidRDefault="00965E15" w:rsidP="00965E15">
      <w:pPr>
        <w:pStyle w:val="Title"/>
        <w:rPr>
          <w:noProof/>
          <w:sz w:val="28"/>
          <w:szCs w:val="28"/>
        </w:rPr>
      </w:pPr>
      <w:r w:rsidRPr="00A27E6C">
        <w:rPr>
          <w:sz w:val="28"/>
          <w:szCs w:val="28"/>
        </w:rPr>
        <w:lastRenderedPageBreak/>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65E15" w14:paraId="4C777145" w14:textId="77777777" w:rsidTr="00634624">
        <w:tc>
          <w:tcPr>
            <w:tcW w:w="7747" w:type="dxa"/>
            <w:shd w:val="clear" w:color="auto" w:fill="auto"/>
          </w:tcPr>
          <w:p w14:paraId="79E88FC2" w14:textId="77777777" w:rsidR="00965E15" w:rsidRPr="00216263" w:rsidRDefault="00965E15" w:rsidP="00965E15">
            <w:pPr>
              <w:numPr>
                <w:ilvl w:val="0"/>
                <w:numId w:val="20"/>
              </w:numPr>
              <w:spacing w:before="40" w:after="40"/>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69DFF75E" w14:textId="77777777" w:rsidR="00965E15" w:rsidRDefault="00965E15" w:rsidP="00634624">
            <w:pPr>
              <w:spacing w:before="240" w:after="120"/>
              <w:jc w:val="both"/>
              <w:rPr>
                <w:noProof/>
              </w:rPr>
            </w:pPr>
            <w:r>
              <w:rPr>
                <w:noProof/>
              </w:rPr>
              <w:t>YES</w:t>
            </w:r>
          </w:p>
        </w:tc>
        <w:tc>
          <w:tcPr>
            <w:tcW w:w="614" w:type="dxa"/>
          </w:tcPr>
          <w:p w14:paraId="5021AE95" w14:textId="77777777" w:rsidR="00965E15" w:rsidRDefault="00965E15" w:rsidP="00634624">
            <w:pPr>
              <w:spacing w:before="240" w:after="120"/>
              <w:jc w:val="both"/>
              <w:rPr>
                <w:noProof/>
              </w:rPr>
            </w:pPr>
            <w:r>
              <w:rPr>
                <w:noProof/>
              </w:rPr>
              <w:t>NO</w:t>
            </w:r>
          </w:p>
        </w:tc>
        <w:tc>
          <w:tcPr>
            <w:tcW w:w="630" w:type="dxa"/>
            <w:shd w:val="clear" w:color="auto" w:fill="auto"/>
          </w:tcPr>
          <w:p w14:paraId="37337760" w14:textId="77777777" w:rsidR="00965E15" w:rsidRDefault="00965E15" w:rsidP="00634624">
            <w:pPr>
              <w:spacing w:before="240" w:after="120"/>
              <w:jc w:val="both"/>
              <w:rPr>
                <w:noProof/>
              </w:rPr>
            </w:pPr>
            <w:r>
              <w:rPr>
                <w:noProof/>
              </w:rPr>
              <w:t>N/A</w:t>
            </w:r>
          </w:p>
        </w:tc>
      </w:tr>
      <w:tr w:rsidR="00965E15" w14:paraId="66ED7335" w14:textId="77777777" w:rsidTr="00634624">
        <w:tc>
          <w:tcPr>
            <w:tcW w:w="7747" w:type="dxa"/>
            <w:shd w:val="clear" w:color="auto" w:fill="auto"/>
            <w:vAlign w:val="center"/>
          </w:tcPr>
          <w:p w14:paraId="1D414447"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6BE513F5"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tcPr>
          <w:p w14:paraId="4E3B98BC"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shd w:val="clear" w:color="auto" w:fill="auto"/>
            <w:vAlign w:val="center"/>
          </w:tcPr>
          <w:p w14:paraId="5F5F528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50DA939F" w14:textId="77777777" w:rsidTr="00634624">
        <w:tc>
          <w:tcPr>
            <w:tcW w:w="7747" w:type="dxa"/>
            <w:shd w:val="clear" w:color="auto" w:fill="auto"/>
            <w:vAlign w:val="center"/>
          </w:tcPr>
          <w:p w14:paraId="3E69AF9D"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7783016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14" w:type="dxa"/>
          </w:tcPr>
          <w:p w14:paraId="77DAF2A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shd w:val="clear" w:color="auto" w:fill="auto"/>
            <w:vAlign w:val="center"/>
          </w:tcPr>
          <w:p w14:paraId="259B460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bl>
    <w:p w14:paraId="6C5E181F" w14:textId="77777777" w:rsidR="00965E15" w:rsidRPr="00A27E6C" w:rsidRDefault="00965E15" w:rsidP="00965E15">
      <w:pPr>
        <w:pStyle w:val="Title"/>
        <w:rPr>
          <w:noProof/>
          <w:sz w:val="28"/>
          <w:szCs w:val="28"/>
        </w:rPr>
      </w:pPr>
      <w:r w:rsidRPr="00A27E6C">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9"/>
        <w:gridCol w:w="708"/>
        <w:gridCol w:w="567"/>
        <w:gridCol w:w="630"/>
      </w:tblGrid>
      <w:tr w:rsidR="00965E15" w14:paraId="1E9B2DBD" w14:textId="77777777" w:rsidTr="00634624">
        <w:tc>
          <w:tcPr>
            <w:tcW w:w="7792" w:type="dxa"/>
            <w:shd w:val="clear" w:color="auto" w:fill="auto"/>
          </w:tcPr>
          <w:p w14:paraId="70D04389" w14:textId="77777777" w:rsidR="00965E15" w:rsidRDefault="00965E15" w:rsidP="00965E15">
            <w:pPr>
              <w:pStyle w:val="ListParagraph"/>
              <w:numPr>
                <w:ilvl w:val="0"/>
                <w:numId w:val="20"/>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708" w:type="dxa"/>
            <w:shd w:val="clear" w:color="auto" w:fill="auto"/>
          </w:tcPr>
          <w:p w14:paraId="00BBDCBA" w14:textId="77777777" w:rsidR="00965E15" w:rsidRDefault="00965E15" w:rsidP="00634624">
            <w:pPr>
              <w:spacing w:before="240" w:after="120"/>
              <w:jc w:val="both"/>
              <w:rPr>
                <w:noProof/>
              </w:rPr>
            </w:pPr>
            <w:r>
              <w:rPr>
                <w:noProof/>
              </w:rPr>
              <w:t>YES</w:t>
            </w:r>
          </w:p>
        </w:tc>
        <w:tc>
          <w:tcPr>
            <w:tcW w:w="567" w:type="dxa"/>
            <w:shd w:val="clear" w:color="auto" w:fill="auto"/>
          </w:tcPr>
          <w:p w14:paraId="420F8C15" w14:textId="77777777" w:rsidR="00965E15" w:rsidRDefault="00965E15" w:rsidP="00634624">
            <w:pPr>
              <w:spacing w:before="240" w:after="120"/>
              <w:jc w:val="both"/>
              <w:rPr>
                <w:noProof/>
              </w:rPr>
            </w:pPr>
            <w:r>
              <w:rPr>
                <w:noProof/>
              </w:rPr>
              <w:t>NO</w:t>
            </w:r>
          </w:p>
        </w:tc>
        <w:tc>
          <w:tcPr>
            <w:tcW w:w="567" w:type="dxa"/>
            <w:shd w:val="clear" w:color="auto" w:fill="auto"/>
          </w:tcPr>
          <w:p w14:paraId="697DEA87" w14:textId="77777777" w:rsidR="00965E15" w:rsidRDefault="00965E15" w:rsidP="00634624">
            <w:pPr>
              <w:spacing w:before="240" w:after="120"/>
              <w:jc w:val="both"/>
              <w:rPr>
                <w:noProof/>
              </w:rPr>
            </w:pPr>
            <w:r>
              <w:rPr>
                <w:noProof/>
              </w:rPr>
              <w:t>N/A</w:t>
            </w:r>
          </w:p>
        </w:tc>
      </w:tr>
      <w:tr w:rsidR="00965E15" w14:paraId="492FD2B2" w14:textId="77777777" w:rsidTr="00634624">
        <w:tc>
          <w:tcPr>
            <w:tcW w:w="7792" w:type="dxa"/>
            <w:shd w:val="clear" w:color="auto" w:fill="auto"/>
          </w:tcPr>
          <w:p w14:paraId="42366654" w14:textId="77777777" w:rsidR="00965E15" w:rsidRPr="00216263" w:rsidRDefault="00965E15" w:rsidP="00634624">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shd w:val="clear" w:color="auto" w:fill="auto"/>
          </w:tcPr>
          <w:p w14:paraId="3C0086F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567" w:type="dxa"/>
            <w:shd w:val="clear" w:color="auto" w:fill="auto"/>
          </w:tcPr>
          <w:p w14:paraId="7B46CBD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567" w:type="dxa"/>
            <w:shd w:val="clear" w:color="auto" w:fill="auto"/>
          </w:tcPr>
          <w:p w14:paraId="660782B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bl>
    <w:p w14:paraId="4AB2D36D" w14:textId="77777777" w:rsidR="00965E15" w:rsidRPr="00A27E6C" w:rsidRDefault="00965E15" w:rsidP="00965E15">
      <w:pPr>
        <w:pStyle w:val="Title"/>
        <w:rPr>
          <w:noProof/>
          <w:sz w:val="28"/>
          <w:szCs w:val="28"/>
        </w:rPr>
      </w:pPr>
      <w:r w:rsidRPr="00A27E6C">
        <w:rPr>
          <w:noProof/>
          <w:sz w:val="28"/>
          <w:szCs w:val="28"/>
        </w:rPr>
        <w:t>V – Remedial measures</w:t>
      </w:r>
    </w:p>
    <w:p w14:paraId="4965D17E" w14:textId="77777777" w:rsidR="00965E15" w:rsidRDefault="00965E15" w:rsidP="00965E15">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w:t>
      </w:r>
      <w:proofErr w:type="spellStart"/>
      <w:r>
        <w:rPr>
          <w:bCs/>
          <w:iCs/>
          <w:color w:val="000000"/>
        </w:rPr>
        <w:t>organisational</w:t>
      </w:r>
      <w:proofErr w:type="spellEnd"/>
      <w:r>
        <w:rPr>
          <w:bCs/>
          <w:iCs/>
          <w:color w:val="000000"/>
        </w:rPr>
        <w:t xml:space="preserve">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6222A0E5" w14:textId="77777777" w:rsidR="00965E15" w:rsidRPr="00A27E6C" w:rsidRDefault="00965E15" w:rsidP="00965E15">
      <w:pPr>
        <w:pStyle w:val="Title"/>
        <w:rPr>
          <w:noProof/>
          <w:sz w:val="28"/>
          <w:szCs w:val="28"/>
        </w:rPr>
      </w:pPr>
      <w:r w:rsidRPr="00A27E6C">
        <w:rPr>
          <w:noProof/>
          <w:sz w:val="28"/>
          <w:szCs w:val="28"/>
        </w:rPr>
        <w:t>VI – Evidence upon request</w:t>
      </w:r>
    </w:p>
    <w:p w14:paraId="65834E07" w14:textId="77777777" w:rsidR="00965E15" w:rsidRDefault="00965E15" w:rsidP="00965E1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79553E67" w14:textId="77777777" w:rsidR="00965E15" w:rsidRPr="00F76ABA" w:rsidRDefault="00965E15" w:rsidP="00965E15">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5647E9C8" w14:textId="77777777" w:rsidR="00965E15" w:rsidRPr="00D37D2D" w:rsidRDefault="00965E15" w:rsidP="00965E15">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FE07AF2" w14:textId="77777777" w:rsidR="00965E15" w:rsidRPr="00D52827" w:rsidRDefault="00965E15" w:rsidP="00965E15">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lastRenderedPageBreak/>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01D94EDD"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8B32990"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350FFB90" w14:textId="77777777" w:rsidTr="00634624">
        <w:tc>
          <w:tcPr>
            <w:tcW w:w="4786" w:type="dxa"/>
            <w:shd w:val="clear" w:color="auto" w:fill="auto"/>
          </w:tcPr>
          <w:p w14:paraId="5C4E3269" w14:textId="77777777" w:rsidR="00965E15" w:rsidRPr="00BF7F29" w:rsidRDefault="00965E15" w:rsidP="00634624">
            <w:pPr>
              <w:spacing w:before="100" w:beforeAutospacing="1" w:after="100" w:afterAutospacing="1"/>
              <w:jc w:val="center"/>
              <w:rPr>
                <w:b/>
              </w:rPr>
            </w:pPr>
            <w:r w:rsidRPr="00BF7F29">
              <w:rPr>
                <w:b/>
              </w:rPr>
              <w:t>Document</w:t>
            </w:r>
          </w:p>
        </w:tc>
        <w:tc>
          <w:tcPr>
            <w:tcW w:w="4678" w:type="dxa"/>
            <w:shd w:val="clear" w:color="auto" w:fill="auto"/>
          </w:tcPr>
          <w:p w14:paraId="3EF0C059"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4CB2EB48" w14:textId="77777777" w:rsidTr="00634624">
        <w:tc>
          <w:tcPr>
            <w:tcW w:w="4786" w:type="dxa"/>
            <w:shd w:val="clear" w:color="auto" w:fill="auto"/>
          </w:tcPr>
          <w:p w14:paraId="41328600"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4A4B7ACD" w14:textId="77777777" w:rsidR="00965E15" w:rsidRDefault="00965E15" w:rsidP="00634624">
            <w:pPr>
              <w:spacing w:before="100" w:beforeAutospacing="1" w:after="100" w:afterAutospacing="1"/>
            </w:pPr>
          </w:p>
        </w:tc>
      </w:tr>
    </w:tbl>
    <w:p w14:paraId="06F8F6B6" w14:textId="77777777" w:rsidR="00965E15" w:rsidRPr="00A27E6C" w:rsidRDefault="00965E15" w:rsidP="00965E15">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65E15" w14:paraId="16E6226D" w14:textId="77777777" w:rsidTr="00634624">
        <w:tc>
          <w:tcPr>
            <w:tcW w:w="7344" w:type="dxa"/>
            <w:shd w:val="clear" w:color="auto" w:fill="auto"/>
          </w:tcPr>
          <w:p w14:paraId="181D5785" w14:textId="77777777" w:rsidR="00965E15" w:rsidRPr="00216263" w:rsidRDefault="00965E15" w:rsidP="00965E15">
            <w:pPr>
              <w:numPr>
                <w:ilvl w:val="0"/>
                <w:numId w:val="23"/>
              </w:numPr>
              <w:spacing w:before="120" w:after="120"/>
              <w:ind w:hanging="502"/>
              <w:jc w:val="both"/>
              <w:rPr>
                <w:rFonts w:cstheme="minorHAnsi"/>
                <w:noProof/>
              </w:rPr>
            </w:pPr>
            <w:r w:rsidRPr="00216263">
              <w:rPr>
                <w:rFonts w:cstheme="minorHAnsi"/>
                <w:noProof/>
              </w:rPr>
              <w:t xml:space="preserve">declares that the above-mentioned person complies with the selection criteria applicable to it individually as provided in the </w:t>
            </w:r>
            <w:r>
              <w:rPr>
                <w:rFonts w:cstheme="minorHAnsi"/>
                <w:noProof/>
              </w:rPr>
              <w:t xml:space="preserve">procurement </w:t>
            </w:r>
            <w:r w:rsidRPr="00216263">
              <w:rPr>
                <w:rFonts w:cstheme="minorHAnsi"/>
                <w:noProof/>
              </w:rPr>
              <w:t>documents:</w:t>
            </w:r>
          </w:p>
        </w:tc>
        <w:tc>
          <w:tcPr>
            <w:tcW w:w="704" w:type="dxa"/>
            <w:shd w:val="clear" w:color="auto" w:fill="auto"/>
          </w:tcPr>
          <w:p w14:paraId="38B35405" w14:textId="77777777" w:rsidR="00965E15" w:rsidRDefault="00965E15" w:rsidP="00634624">
            <w:pPr>
              <w:spacing w:before="240" w:after="120"/>
              <w:jc w:val="both"/>
              <w:rPr>
                <w:noProof/>
              </w:rPr>
            </w:pPr>
            <w:r>
              <w:rPr>
                <w:noProof/>
              </w:rPr>
              <w:t>YES</w:t>
            </w:r>
          </w:p>
        </w:tc>
        <w:tc>
          <w:tcPr>
            <w:tcW w:w="608" w:type="dxa"/>
            <w:shd w:val="clear" w:color="auto" w:fill="auto"/>
          </w:tcPr>
          <w:p w14:paraId="52AB2153" w14:textId="77777777" w:rsidR="00965E15" w:rsidRDefault="00965E15" w:rsidP="00634624">
            <w:pPr>
              <w:spacing w:before="240" w:after="120"/>
              <w:jc w:val="both"/>
              <w:rPr>
                <w:noProof/>
              </w:rPr>
            </w:pPr>
            <w:r>
              <w:rPr>
                <w:noProof/>
              </w:rPr>
              <w:t>NO</w:t>
            </w:r>
          </w:p>
        </w:tc>
        <w:tc>
          <w:tcPr>
            <w:tcW w:w="630" w:type="dxa"/>
            <w:shd w:val="clear" w:color="auto" w:fill="auto"/>
          </w:tcPr>
          <w:p w14:paraId="0A2A615F" w14:textId="77777777" w:rsidR="00965E15" w:rsidRDefault="00965E15" w:rsidP="00634624">
            <w:pPr>
              <w:spacing w:before="240" w:after="120"/>
              <w:jc w:val="both"/>
              <w:rPr>
                <w:noProof/>
              </w:rPr>
            </w:pPr>
            <w:r>
              <w:rPr>
                <w:noProof/>
              </w:rPr>
              <w:t>N/A</w:t>
            </w:r>
          </w:p>
        </w:tc>
      </w:tr>
      <w:tr w:rsidR="00965E15" w14:paraId="0A208D6C" w14:textId="77777777" w:rsidTr="00634624">
        <w:tc>
          <w:tcPr>
            <w:tcW w:w="7344" w:type="dxa"/>
            <w:shd w:val="clear" w:color="auto" w:fill="auto"/>
          </w:tcPr>
          <w:p w14:paraId="15C369D2"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the legal and regulatory capacity to pursue the professional activity needed for performing the contract as required in Terms of Reference;</w:t>
            </w:r>
          </w:p>
        </w:tc>
        <w:tc>
          <w:tcPr>
            <w:tcW w:w="704" w:type="dxa"/>
            <w:shd w:val="clear" w:color="auto" w:fill="auto"/>
          </w:tcPr>
          <w:p w14:paraId="04BF55F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08" w:type="dxa"/>
            <w:shd w:val="clear" w:color="auto" w:fill="auto"/>
          </w:tcPr>
          <w:p w14:paraId="3B5097F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1DE23539"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37B59F7B" w14:textId="77777777" w:rsidTr="00634624">
        <w:tc>
          <w:tcPr>
            <w:tcW w:w="7344" w:type="dxa"/>
            <w:shd w:val="clear" w:color="auto" w:fill="auto"/>
          </w:tcPr>
          <w:p w14:paraId="1DDE272D"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economic and financial criteria indicated in Terms of Reference;</w:t>
            </w:r>
          </w:p>
        </w:tc>
        <w:tc>
          <w:tcPr>
            <w:tcW w:w="704" w:type="dxa"/>
            <w:shd w:val="clear" w:color="auto" w:fill="auto"/>
          </w:tcPr>
          <w:p w14:paraId="6E91B300"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08" w:type="dxa"/>
            <w:shd w:val="clear" w:color="auto" w:fill="auto"/>
          </w:tcPr>
          <w:p w14:paraId="668CF60B"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48C7E554"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r w:rsidR="00965E15" w14:paraId="07DEA198" w14:textId="77777777" w:rsidTr="00634624">
        <w:tc>
          <w:tcPr>
            <w:tcW w:w="7344" w:type="dxa"/>
            <w:shd w:val="clear" w:color="auto" w:fill="auto"/>
          </w:tcPr>
          <w:p w14:paraId="4DB414F7" w14:textId="77777777" w:rsidR="00965E15" w:rsidRPr="00216263" w:rsidRDefault="00965E15" w:rsidP="00965E15">
            <w:pPr>
              <w:pStyle w:val="Text1"/>
              <w:numPr>
                <w:ilvl w:val="0"/>
                <w:numId w:val="22"/>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fulfills the applicable technical and professional criteria indicated in Terms of Reference.</w:t>
            </w:r>
          </w:p>
        </w:tc>
        <w:tc>
          <w:tcPr>
            <w:tcW w:w="704" w:type="dxa"/>
            <w:shd w:val="clear" w:color="auto" w:fill="auto"/>
          </w:tcPr>
          <w:p w14:paraId="1095150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08" w:type="dxa"/>
            <w:shd w:val="clear" w:color="auto" w:fill="auto"/>
          </w:tcPr>
          <w:p w14:paraId="4255A54F"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c>
          <w:tcPr>
            <w:tcW w:w="630" w:type="dxa"/>
          </w:tcPr>
          <w:p w14:paraId="6AB39EC3" w14:textId="77777777" w:rsidR="00965E15" w:rsidRDefault="00965E15" w:rsidP="00634624">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17130C">
              <w:rPr>
                <w:noProof/>
              </w:rPr>
            </w:r>
            <w:r w:rsidR="0017130C">
              <w:rPr>
                <w:noProof/>
              </w:rPr>
              <w:fldChar w:fldCharType="separate"/>
            </w:r>
            <w:r>
              <w:rPr>
                <w:noProof/>
              </w:rPr>
              <w:fldChar w:fldCharType="end"/>
            </w:r>
          </w:p>
        </w:tc>
      </w:tr>
    </w:tbl>
    <w:p w14:paraId="02E9F646" w14:textId="77777777" w:rsidR="00965E15" w:rsidRDefault="00965E15" w:rsidP="00965E15">
      <w:pPr>
        <w:rPr>
          <w:b/>
          <w:i/>
          <w:color w:val="0070C0"/>
        </w:rPr>
      </w:pPr>
    </w:p>
    <w:p w14:paraId="64999BCB" w14:textId="77777777" w:rsidR="00965E15" w:rsidRPr="00A27E6C" w:rsidRDefault="00965E15" w:rsidP="00965E15">
      <w:pPr>
        <w:pStyle w:val="Title"/>
        <w:rPr>
          <w:i/>
          <w:sz w:val="28"/>
          <w:szCs w:val="28"/>
        </w:rPr>
      </w:pPr>
      <w:r w:rsidRPr="00A27E6C">
        <w:rPr>
          <w:noProof/>
          <w:sz w:val="28"/>
          <w:szCs w:val="28"/>
        </w:rPr>
        <w:t>VIII – Evidence for selection</w:t>
      </w:r>
    </w:p>
    <w:p w14:paraId="73FA95B5" w14:textId="77777777" w:rsidR="00965E15" w:rsidRDefault="00965E15" w:rsidP="00965E15">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this declaration and which are not available electronically upon request and without delay.</w:t>
      </w:r>
    </w:p>
    <w:p w14:paraId="6F4E4539" w14:textId="77777777" w:rsidR="00965E15" w:rsidRDefault="00965E15" w:rsidP="00965E15">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28C2A14E" w14:textId="77777777" w:rsidR="00965E15" w:rsidRDefault="00965E15" w:rsidP="00965E15">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65E15" w:rsidRPr="000C2EE8" w14:paraId="749047A3" w14:textId="77777777" w:rsidTr="00634624">
        <w:tc>
          <w:tcPr>
            <w:tcW w:w="4786" w:type="dxa"/>
            <w:shd w:val="clear" w:color="auto" w:fill="auto"/>
          </w:tcPr>
          <w:p w14:paraId="4DB30214" w14:textId="77777777" w:rsidR="00965E15" w:rsidRPr="00BF7F29" w:rsidRDefault="00965E15" w:rsidP="00634624">
            <w:pPr>
              <w:spacing w:before="100" w:beforeAutospacing="1" w:after="100" w:afterAutospacing="1"/>
              <w:jc w:val="center"/>
              <w:rPr>
                <w:b/>
              </w:rPr>
            </w:pPr>
            <w:r w:rsidRPr="00BF7F29">
              <w:rPr>
                <w:b/>
              </w:rPr>
              <w:lastRenderedPageBreak/>
              <w:t>Document</w:t>
            </w:r>
          </w:p>
        </w:tc>
        <w:tc>
          <w:tcPr>
            <w:tcW w:w="4678" w:type="dxa"/>
            <w:shd w:val="clear" w:color="auto" w:fill="auto"/>
          </w:tcPr>
          <w:p w14:paraId="6763A3D0" w14:textId="77777777" w:rsidR="00965E15" w:rsidRPr="00BF7F29" w:rsidRDefault="00965E15" w:rsidP="00634624">
            <w:pPr>
              <w:spacing w:before="100" w:beforeAutospacing="1" w:after="100" w:afterAutospacing="1"/>
              <w:jc w:val="center"/>
              <w:rPr>
                <w:b/>
              </w:rPr>
            </w:pPr>
            <w:r w:rsidRPr="00BF7F29">
              <w:rPr>
                <w:b/>
              </w:rPr>
              <w:t>Full reference to previous procedure</w:t>
            </w:r>
          </w:p>
        </w:tc>
      </w:tr>
      <w:tr w:rsidR="00965E15" w14:paraId="57CAE007" w14:textId="77777777" w:rsidTr="00634624">
        <w:tc>
          <w:tcPr>
            <w:tcW w:w="4786" w:type="dxa"/>
            <w:shd w:val="clear" w:color="auto" w:fill="auto"/>
          </w:tcPr>
          <w:p w14:paraId="5E1939B0" w14:textId="77777777" w:rsidR="00965E15" w:rsidRDefault="00965E15" w:rsidP="00634624">
            <w:pPr>
              <w:spacing w:before="100" w:beforeAutospacing="1" w:after="100" w:afterAutospacing="1"/>
            </w:pPr>
            <w:r w:rsidRPr="00BF7F29">
              <w:rPr>
                <w:i/>
                <w:highlight w:val="lightGray"/>
              </w:rPr>
              <w:t>Insert as many lines as necessary.</w:t>
            </w:r>
          </w:p>
        </w:tc>
        <w:tc>
          <w:tcPr>
            <w:tcW w:w="4678" w:type="dxa"/>
            <w:shd w:val="clear" w:color="auto" w:fill="auto"/>
          </w:tcPr>
          <w:p w14:paraId="08C71059" w14:textId="77777777" w:rsidR="00965E15" w:rsidRDefault="00965E15" w:rsidP="00634624">
            <w:pPr>
              <w:spacing w:before="100" w:beforeAutospacing="1" w:after="100" w:afterAutospacing="1"/>
            </w:pPr>
          </w:p>
        </w:tc>
      </w:tr>
    </w:tbl>
    <w:p w14:paraId="1D014124" w14:textId="77777777" w:rsidR="00965E15" w:rsidRDefault="00965E15" w:rsidP="00965E15">
      <w:pPr>
        <w:spacing w:before="40" w:after="40"/>
        <w:jc w:val="both"/>
        <w:rPr>
          <w:noProof/>
        </w:rPr>
      </w:pPr>
    </w:p>
    <w:p w14:paraId="542CB853" w14:textId="77777777" w:rsidR="00965E15" w:rsidRDefault="00965E15" w:rsidP="00965E15">
      <w:pPr>
        <w:spacing w:before="40" w:after="40"/>
        <w:jc w:val="both"/>
        <w:rPr>
          <w:b/>
          <w:i/>
          <w:noProof/>
        </w:rPr>
      </w:pPr>
      <w:r>
        <w:rPr>
          <w:b/>
          <w:i/>
          <w:noProof/>
        </w:rPr>
        <w:t>The above-mentioned person must immediately inform SPREP of any changes in the situations as declared.</w:t>
      </w:r>
    </w:p>
    <w:p w14:paraId="52A83579" w14:textId="77777777" w:rsidR="00965E15" w:rsidRDefault="00965E15" w:rsidP="00965E15">
      <w:pPr>
        <w:spacing w:before="40" w:after="40"/>
        <w:jc w:val="both"/>
        <w:rPr>
          <w:b/>
          <w:i/>
          <w:noProof/>
        </w:rPr>
      </w:pPr>
    </w:p>
    <w:p w14:paraId="1A183D53" w14:textId="77777777" w:rsidR="00965E15" w:rsidRPr="0024225B" w:rsidRDefault="00965E15" w:rsidP="00965E15">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2EF54EE1" w14:textId="77777777" w:rsidR="00965E15" w:rsidRPr="00F76ABA" w:rsidRDefault="00965E15" w:rsidP="00965E15">
      <w:pPr>
        <w:spacing w:before="40" w:after="40"/>
        <w:jc w:val="both"/>
        <w:rPr>
          <w:noProof/>
        </w:rPr>
      </w:pPr>
    </w:p>
    <w:p w14:paraId="13DFCA49" w14:textId="77777777" w:rsidR="0073319D" w:rsidRDefault="00965E15" w:rsidP="00965E15">
      <w:pPr>
        <w:pStyle w:val="BodyA"/>
        <w:rPr>
          <w:rFonts w:ascii="Arial" w:eastAsia="Arial" w:hAnsi="Arial" w:cs="Arial"/>
        </w:rPr>
      </w:pPr>
      <w:r>
        <w:rPr>
          <w:noProof/>
        </w:rPr>
        <w:t>Full name</w:t>
      </w:r>
      <w:r>
        <w:rPr>
          <w:noProof/>
        </w:rPr>
        <w:tab/>
      </w:r>
      <w:r w:rsidRPr="00F76ABA">
        <w:rPr>
          <w:noProof/>
        </w:rPr>
        <w:t>Date</w:t>
      </w:r>
      <w:r w:rsidRPr="00F76ABA">
        <w:rPr>
          <w:noProof/>
        </w:rPr>
        <w:tab/>
        <w:t>Signature</w:t>
      </w:r>
    </w:p>
    <w:p w14:paraId="0B5FFD02" w14:textId="77777777" w:rsidR="0073319D" w:rsidRDefault="0073319D">
      <w:pPr>
        <w:pStyle w:val="BodyA"/>
        <w:rPr>
          <w:rFonts w:ascii="Arial" w:eastAsia="Arial" w:hAnsi="Arial" w:cs="Arial"/>
        </w:rPr>
      </w:pPr>
    </w:p>
    <w:p w14:paraId="7C79E8D3" w14:textId="77777777" w:rsidR="0073319D" w:rsidRDefault="0073319D">
      <w:pPr>
        <w:pStyle w:val="BodyA"/>
        <w:rPr>
          <w:rFonts w:ascii="Arial" w:eastAsia="Arial" w:hAnsi="Arial" w:cs="Arial"/>
        </w:rPr>
      </w:pPr>
    </w:p>
    <w:p w14:paraId="6BE5E235" w14:textId="77777777" w:rsidR="0073319D" w:rsidRDefault="0073319D">
      <w:pPr>
        <w:pStyle w:val="BodyA"/>
        <w:rPr>
          <w:rFonts w:ascii="Arial" w:eastAsia="Arial" w:hAnsi="Arial" w:cs="Arial"/>
        </w:rPr>
      </w:pPr>
    </w:p>
    <w:p w14:paraId="6D23F952" w14:textId="77777777" w:rsidR="0073319D" w:rsidRDefault="0073319D">
      <w:pPr>
        <w:pStyle w:val="BodyA"/>
        <w:rPr>
          <w:rFonts w:ascii="Arial" w:eastAsia="Arial" w:hAnsi="Arial" w:cs="Arial"/>
        </w:rPr>
      </w:pPr>
    </w:p>
    <w:p w14:paraId="1820B88D"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615630A7" wp14:editId="42955CB8">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224F1A5F"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712E7D1" wp14:editId="2B542920">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35157B48"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7" w:history="1">
                              <w:r>
                                <w:rPr>
                                  <w:rStyle w:val="Hyperlink0"/>
                                </w:rPr>
                                <w:t>sprep@sprep.org</w:t>
                              </w:r>
                            </w:hyperlink>
                            <w:r>
                              <w:rPr>
                                <w:rStyle w:val="None"/>
                                <w:color w:val="000090"/>
                                <w:u w:color="000090"/>
                              </w:rPr>
                              <w:t xml:space="preserve">   </w:t>
                            </w:r>
                            <w:hyperlink r:id="rId8"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9" w:history="1">
                        <w:r>
                          <w:rPr>
                            <w:rStyle w:val="Hyperlink0"/>
                          </w:rPr>
                          <w:t>sprep@sprep.org</w:t>
                        </w:r>
                      </w:hyperlink>
                      <w:r>
                        <w:rPr>
                          <w:rStyle w:val="None"/>
                          <w:color w:val="000090"/>
                          <w:u w:color="000090"/>
                        </w:rPr>
                        <w:t xml:space="preserve">   </w:t>
                      </w:r>
                      <w:hyperlink r:id="rId10"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3A54B325" w14:textId="77777777" w:rsidR="0073319D" w:rsidRDefault="0073319D">
      <w:pPr>
        <w:pStyle w:val="BodyA"/>
        <w:rPr>
          <w:rStyle w:val="None"/>
          <w:rFonts w:ascii="Arial" w:eastAsia="Arial" w:hAnsi="Arial" w:cs="Arial"/>
        </w:rPr>
      </w:pPr>
    </w:p>
    <w:p w14:paraId="5E695593" w14:textId="77777777" w:rsidR="0073319D" w:rsidRDefault="0073319D">
      <w:pPr>
        <w:pStyle w:val="BodyA"/>
        <w:rPr>
          <w:rStyle w:val="None"/>
          <w:rFonts w:ascii="Arial" w:eastAsia="Arial" w:hAnsi="Arial" w:cs="Arial"/>
        </w:rPr>
      </w:pPr>
    </w:p>
    <w:p w14:paraId="0A04DF04" w14:textId="77777777" w:rsidR="0073319D" w:rsidRDefault="0073319D">
      <w:pPr>
        <w:pStyle w:val="BodyA"/>
        <w:rPr>
          <w:rStyle w:val="None"/>
          <w:rFonts w:ascii="Arial" w:eastAsia="Arial" w:hAnsi="Arial" w:cs="Arial"/>
        </w:rPr>
      </w:pPr>
    </w:p>
    <w:p w14:paraId="77EC6488" w14:textId="77777777" w:rsidR="0073319D" w:rsidRDefault="0073319D">
      <w:pPr>
        <w:pStyle w:val="BodyA"/>
        <w:rPr>
          <w:rStyle w:val="None"/>
          <w:rFonts w:ascii="Arial" w:eastAsia="Arial" w:hAnsi="Arial" w:cs="Arial"/>
        </w:rPr>
      </w:pPr>
    </w:p>
    <w:p w14:paraId="42D9AB91" w14:textId="77777777" w:rsidR="0073319D" w:rsidRDefault="0073319D">
      <w:pPr>
        <w:pStyle w:val="BodyA"/>
        <w:rPr>
          <w:rStyle w:val="None"/>
          <w:rFonts w:ascii="Arial" w:eastAsia="Arial" w:hAnsi="Arial" w:cs="Arial"/>
        </w:rPr>
      </w:pPr>
    </w:p>
    <w:p w14:paraId="3397C4C0" w14:textId="77777777" w:rsidR="0073319D" w:rsidRDefault="0073319D">
      <w:pPr>
        <w:pStyle w:val="BodyA"/>
        <w:rPr>
          <w:rStyle w:val="None"/>
          <w:rFonts w:ascii="Arial" w:eastAsia="Arial" w:hAnsi="Arial" w:cs="Arial"/>
        </w:rPr>
      </w:pPr>
    </w:p>
    <w:p w14:paraId="6063C2E1" w14:textId="77777777" w:rsidR="0073319D" w:rsidRDefault="0073319D">
      <w:pPr>
        <w:pStyle w:val="BodyA"/>
        <w:rPr>
          <w:rStyle w:val="None"/>
          <w:rFonts w:ascii="Arial" w:eastAsia="Arial" w:hAnsi="Arial" w:cs="Arial"/>
        </w:rPr>
      </w:pPr>
    </w:p>
    <w:p w14:paraId="6E38165D" w14:textId="77777777" w:rsidR="0073319D" w:rsidRDefault="0073319D">
      <w:pPr>
        <w:pStyle w:val="BodyA"/>
        <w:rPr>
          <w:rStyle w:val="None"/>
          <w:rFonts w:ascii="Arial" w:eastAsia="Arial" w:hAnsi="Arial" w:cs="Arial"/>
        </w:rPr>
      </w:pPr>
    </w:p>
    <w:p w14:paraId="78BEEBD0" w14:textId="77777777" w:rsidR="0073319D" w:rsidRDefault="0073319D">
      <w:pPr>
        <w:pStyle w:val="BodyA"/>
        <w:rPr>
          <w:rStyle w:val="None"/>
          <w:rFonts w:ascii="Arial" w:eastAsia="Arial" w:hAnsi="Arial" w:cs="Arial"/>
        </w:rPr>
      </w:pPr>
    </w:p>
    <w:p w14:paraId="4F69787B" w14:textId="77777777" w:rsidR="0073319D" w:rsidRDefault="0073319D">
      <w:pPr>
        <w:pStyle w:val="BodyA"/>
        <w:rPr>
          <w:rStyle w:val="None"/>
          <w:rFonts w:ascii="Arial" w:eastAsia="Arial" w:hAnsi="Arial" w:cs="Arial"/>
        </w:rPr>
      </w:pPr>
    </w:p>
    <w:p w14:paraId="1C3FF282" w14:textId="77777777" w:rsidR="0073319D" w:rsidRDefault="0073319D">
      <w:pPr>
        <w:pStyle w:val="BodyA"/>
        <w:rPr>
          <w:rStyle w:val="None"/>
          <w:rFonts w:ascii="Arial" w:eastAsia="Arial" w:hAnsi="Arial" w:cs="Arial"/>
        </w:rPr>
      </w:pPr>
    </w:p>
    <w:p w14:paraId="5C472750" w14:textId="77777777" w:rsidR="0073319D" w:rsidRDefault="0073319D">
      <w:pPr>
        <w:pStyle w:val="BodyA"/>
        <w:rPr>
          <w:rStyle w:val="None"/>
          <w:rFonts w:ascii="Arial" w:eastAsia="Arial" w:hAnsi="Arial" w:cs="Arial"/>
        </w:rPr>
      </w:pPr>
    </w:p>
    <w:p w14:paraId="30BC09D8" w14:textId="77777777" w:rsidR="0073319D" w:rsidRDefault="0073319D">
      <w:pPr>
        <w:pStyle w:val="BodyA"/>
        <w:rPr>
          <w:rStyle w:val="None"/>
          <w:rFonts w:ascii="Arial" w:eastAsia="Arial" w:hAnsi="Arial" w:cs="Arial"/>
        </w:rPr>
      </w:pPr>
    </w:p>
    <w:p w14:paraId="38D27EE2" w14:textId="77777777" w:rsidR="0073319D" w:rsidRDefault="0073319D">
      <w:pPr>
        <w:pStyle w:val="BodyA"/>
        <w:rPr>
          <w:rStyle w:val="None"/>
          <w:rFonts w:ascii="Arial" w:eastAsia="Arial" w:hAnsi="Arial" w:cs="Arial"/>
        </w:rPr>
      </w:pPr>
    </w:p>
    <w:p w14:paraId="7E5A6EA7" w14:textId="77777777" w:rsidR="0073319D" w:rsidRDefault="0073319D">
      <w:pPr>
        <w:pStyle w:val="BodyA"/>
        <w:rPr>
          <w:rStyle w:val="None"/>
          <w:rFonts w:ascii="Arial" w:eastAsia="Arial" w:hAnsi="Arial" w:cs="Arial"/>
        </w:rPr>
      </w:pPr>
    </w:p>
    <w:p w14:paraId="6E53F29A" w14:textId="77777777" w:rsidR="0073319D" w:rsidRDefault="0073319D">
      <w:pPr>
        <w:pStyle w:val="BodyA"/>
        <w:rPr>
          <w:rStyle w:val="None"/>
          <w:rFonts w:ascii="Arial" w:eastAsia="Arial" w:hAnsi="Arial" w:cs="Arial"/>
        </w:rPr>
      </w:pPr>
    </w:p>
    <w:p w14:paraId="258EFA8E" w14:textId="77777777" w:rsidR="0073319D" w:rsidRDefault="0073319D">
      <w:pPr>
        <w:pStyle w:val="BodyA"/>
        <w:rPr>
          <w:rStyle w:val="None"/>
          <w:rFonts w:ascii="Arial" w:eastAsia="Arial" w:hAnsi="Arial" w:cs="Arial"/>
        </w:rPr>
      </w:pPr>
    </w:p>
    <w:p w14:paraId="792ECFC2" w14:textId="77777777" w:rsidR="0073319D" w:rsidRDefault="0073319D">
      <w:pPr>
        <w:pStyle w:val="BodyA"/>
        <w:rPr>
          <w:rStyle w:val="None"/>
          <w:rFonts w:ascii="Arial" w:eastAsia="Arial" w:hAnsi="Arial" w:cs="Arial"/>
        </w:rPr>
      </w:pPr>
    </w:p>
    <w:p w14:paraId="13E52BD5" w14:textId="77777777" w:rsidR="0073319D" w:rsidRDefault="0073319D">
      <w:pPr>
        <w:pStyle w:val="BodyA"/>
        <w:rPr>
          <w:rStyle w:val="None"/>
          <w:rFonts w:ascii="Arial" w:eastAsia="Arial" w:hAnsi="Arial" w:cs="Arial"/>
        </w:rPr>
      </w:pPr>
    </w:p>
    <w:p w14:paraId="59CF42A6" w14:textId="77777777" w:rsidR="0073319D" w:rsidRDefault="0073319D">
      <w:pPr>
        <w:pStyle w:val="BodyA"/>
        <w:rPr>
          <w:rStyle w:val="None"/>
          <w:rFonts w:ascii="Arial" w:eastAsia="Arial" w:hAnsi="Arial" w:cs="Arial"/>
        </w:rPr>
      </w:pPr>
    </w:p>
    <w:p w14:paraId="7F3CC3F3" w14:textId="77777777" w:rsidR="0073319D" w:rsidRDefault="0073319D">
      <w:pPr>
        <w:pStyle w:val="BodyA"/>
        <w:rPr>
          <w:rStyle w:val="None"/>
          <w:rFonts w:ascii="Arial" w:eastAsia="Arial" w:hAnsi="Arial" w:cs="Arial"/>
        </w:rPr>
      </w:pPr>
    </w:p>
    <w:p w14:paraId="593645D3" w14:textId="77777777" w:rsidR="0073319D" w:rsidRDefault="0073319D">
      <w:pPr>
        <w:pStyle w:val="BodyA"/>
        <w:rPr>
          <w:rStyle w:val="None"/>
          <w:rFonts w:ascii="Arial" w:eastAsia="Arial" w:hAnsi="Arial" w:cs="Arial"/>
        </w:rPr>
      </w:pPr>
    </w:p>
    <w:p w14:paraId="122195EF" w14:textId="77777777" w:rsidR="0073319D" w:rsidRDefault="0073319D">
      <w:pPr>
        <w:pStyle w:val="BodyA"/>
        <w:rPr>
          <w:rStyle w:val="None"/>
          <w:rFonts w:ascii="Arial" w:eastAsia="Arial" w:hAnsi="Arial" w:cs="Arial"/>
        </w:rPr>
      </w:pPr>
    </w:p>
    <w:p w14:paraId="2D81A2FB" w14:textId="77777777" w:rsidR="0073319D" w:rsidRDefault="00F11971">
      <w:pPr>
        <w:pStyle w:val="BodyA"/>
        <w:tabs>
          <w:tab w:val="left" w:pos="2480"/>
        </w:tabs>
      </w:pPr>
      <w:r>
        <w:rPr>
          <w:rStyle w:val="None"/>
          <w:rFonts w:ascii="Arial" w:eastAsia="Arial" w:hAnsi="Arial" w:cs="Arial"/>
        </w:rPr>
        <w:tab/>
      </w:r>
    </w:p>
    <w:sectPr w:rsidR="0073319D">
      <w:headerReference w:type="default" r:id="rId11"/>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30089" w14:textId="77777777" w:rsidR="00ED3C67" w:rsidRDefault="00ED3C67">
      <w:r>
        <w:separator/>
      </w:r>
    </w:p>
  </w:endnote>
  <w:endnote w:type="continuationSeparator" w:id="0">
    <w:p w14:paraId="76DD05A4" w14:textId="77777777" w:rsidR="00ED3C67" w:rsidRDefault="00ED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A6F30" w14:textId="77777777" w:rsidR="00ED3C67" w:rsidRDefault="00ED3C67">
      <w:r>
        <w:separator/>
      </w:r>
    </w:p>
  </w:footnote>
  <w:footnote w:type="continuationSeparator" w:id="0">
    <w:p w14:paraId="7C2F8F1A" w14:textId="77777777" w:rsidR="00ED3C67" w:rsidRDefault="00ED3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82DB"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5DC39C10" wp14:editId="3446FC7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6"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1"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6"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9"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683070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78667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1890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926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72880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59222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6286796">
    <w:abstractNumId w:val="16"/>
  </w:num>
  <w:num w:numId="8" w16cid:durableId="18704087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0387509">
    <w:abstractNumId w:val="2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5721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1471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59882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3420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269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3093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854554">
    <w:abstractNumId w:val="0"/>
  </w:num>
  <w:num w:numId="17" w16cid:durableId="129371292">
    <w:abstractNumId w:val="7"/>
  </w:num>
  <w:num w:numId="18" w16cid:durableId="472917569">
    <w:abstractNumId w:val="6"/>
  </w:num>
  <w:num w:numId="19" w16cid:durableId="1680888511">
    <w:abstractNumId w:val="2"/>
  </w:num>
  <w:num w:numId="20" w16cid:durableId="942105514">
    <w:abstractNumId w:val="3"/>
  </w:num>
  <w:num w:numId="21" w16cid:durableId="1668483427">
    <w:abstractNumId w:val="1"/>
  </w:num>
  <w:num w:numId="22" w16cid:durableId="620258946">
    <w:abstractNumId w:val="14"/>
  </w:num>
  <w:num w:numId="23" w16cid:durableId="1379089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17130C"/>
    <w:rsid w:val="00256385"/>
    <w:rsid w:val="0073319D"/>
    <w:rsid w:val="00965E15"/>
    <w:rsid w:val="009E5BDE"/>
    <w:rsid w:val="00C57561"/>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59E1"/>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paragraph" w:styleId="Title">
    <w:name w:val="Title"/>
    <w:basedOn w:val="Normal"/>
    <w:next w:val="Normal"/>
    <w:link w:val="TitleChar"/>
    <w:qFormat/>
    <w:rsid w:val="00965E15"/>
    <w:pPr>
      <w:pBdr>
        <w:bottom w:val="single" w:sz="4" w:space="1" w:color="auto"/>
      </w:pBdr>
      <w:spacing w:after="200"/>
      <w:contextualSpacing/>
    </w:pPr>
    <w:rPr>
      <w:rFonts w:asciiTheme="majorHAnsi" w:eastAsiaTheme="majorEastAsia" w:hAnsiTheme="majorHAnsi" w:cstheme="majorBidi"/>
      <w:spacing w:val="5"/>
      <w:sz w:val="52"/>
      <w:szCs w:val="52"/>
      <w:lang w:val="en-NZ"/>
    </w:rPr>
  </w:style>
  <w:style w:type="character" w:customStyle="1" w:styleId="TitleChar">
    <w:name w:val="Title Char"/>
    <w:basedOn w:val="DefaultParagraphFont"/>
    <w:link w:val="Title"/>
    <w:rsid w:val="00965E15"/>
    <w:rPr>
      <w:rFonts w:asciiTheme="majorHAnsi" w:eastAsiaTheme="majorEastAsia" w:hAnsiTheme="majorHAnsi" w:cstheme="majorBidi"/>
      <w:spacing w:val="5"/>
      <w:sz w:val="52"/>
      <w:szCs w:val="52"/>
      <w:bdr w:val="none" w:sz="0" w:space="0" w:color="auto"/>
      <w:lang w:val="en-NZ" w:eastAsia="en-US"/>
    </w:rPr>
  </w:style>
  <w:style w:type="character" w:customStyle="1" w:styleId="Text1Char">
    <w:name w:val="Text 1 Char"/>
    <w:link w:val="Text1"/>
    <w:locked/>
    <w:rsid w:val="00965E15"/>
    <w:rPr>
      <w:rFonts w:eastAsia="Times New Roman"/>
      <w:sz w:val="24"/>
      <w:szCs w:val="24"/>
      <w:lang w:val="en-GB" w:eastAsia="zh-CN"/>
    </w:rPr>
  </w:style>
  <w:style w:type="paragraph" w:customStyle="1" w:styleId="Text1">
    <w:name w:val="Text 1"/>
    <w:basedOn w:val="Normal"/>
    <w:link w:val="Text1Char"/>
    <w:rsid w:val="00965E15"/>
    <w:pPr>
      <w:spacing w:before="120" w:after="120"/>
      <w:ind w:left="850"/>
      <w:jc w:val="both"/>
    </w:pPr>
    <w:rPr>
      <w:rFonts w:eastAsia="Times New Roman"/>
      <w:bdr w:val="ni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rep@spre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prep.org" TargetMode="External"/><Relationship Id="rId4" Type="http://schemas.openxmlformats.org/officeDocument/2006/relationships/webSettings" Target="webSettings.xml"/><Relationship Id="rId9"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192.168.10.67\Alfresco\Sites\communications-and-outreach\documentLibrary\SPREP_Comms\Correspondence_templates\2023_CorrespondenceTemplates\SPREP%20PROE%20Procurement%20Templates\Routing%20Slip%20Templates\SPREP%20PROE_Routing%20Slip_Request%20for%20Tenders.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SPREP PROE_Routing Slip_Request for Tenders</Template>
  <TotalTime>0</TotalTime>
  <Pages>6</Pages>
  <Words>2002</Words>
  <Characters>11415</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Premna Pedebone</cp:lastModifiedBy>
  <cp:revision>2</cp:revision>
  <dcterms:created xsi:type="dcterms:W3CDTF">2023-05-07T22:18:00Z</dcterms:created>
  <dcterms:modified xsi:type="dcterms:W3CDTF">2023-05-07T22:18:00Z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